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contextualSpacing w:val="0"/>
        <w:jc w:val="left"/>
        <w:rPr>
          <w:rFonts w:ascii="ae_Cortoba" w:cs="ae_Cortoba" w:eastAsia="ae_Cortoba" w:hAnsi="ae_Cortoba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بموضوع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الأطروحة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</w:tabs>
        <w:bidi w:val="1"/>
        <w:spacing w:after="0" w:before="0" w:line="360" w:lineRule="auto"/>
        <w:ind w:left="0" w:right="0" w:firstLine="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  <w:tab w:val="left" w:pos="1106"/>
        </w:tabs>
        <w:bidi w:val="1"/>
        <w:spacing w:after="0" w:before="0" w:line="360" w:lineRule="auto"/>
        <w:ind w:left="0" w:right="0" w:firstLine="26"/>
        <w:contextualSpacing w:val="0"/>
        <w:jc w:val="both"/>
        <w:rPr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</w:rPr>
      </w:pP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  <w:tab w:val="left" w:pos="1106"/>
        </w:tabs>
        <w:bidi w:val="1"/>
        <w:spacing w:after="0" w:before="0" w:line="360" w:lineRule="auto"/>
        <w:ind w:left="0" w:right="0" w:firstLine="26"/>
        <w:contextualSpacing w:val="0"/>
        <w:jc w:val="both"/>
        <w:rPr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</w:rPr>
      </w:pP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نشأة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  <w:tab w:val="left" w:pos="1106"/>
        </w:tabs>
        <w:bidi w:val="1"/>
        <w:spacing w:after="0" w:before="0" w:line="360" w:lineRule="auto"/>
        <w:ind w:left="0" w:right="0" w:firstLine="26"/>
        <w:contextualSpacing w:val="0"/>
        <w:jc w:val="both"/>
        <w:rPr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</w:rPr>
      </w:pP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  <w:tab w:val="left" w:pos="1106"/>
        </w:tabs>
        <w:bidi w:val="1"/>
        <w:spacing w:after="0" w:before="0" w:line="360" w:lineRule="auto"/>
        <w:ind w:left="0" w:right="0" w:firstLine="26"/>
        <w:contextualSpacing w:val="0"/>
        <w:jc w:val="both"/>
        <w:rPr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</w:rPr>
      </w:pP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قواعد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  <w:tab w:val="left" w:pos="1106"/>
        </w:tabs>
        <w:bidi w:val="1"/>
        <w:spacing w:after="0" w:before="0" w:line="360" w:lineRule="auto"/>
        <w:ind w:left="0" w:right="0" w:firstLine="26"/>
        <w:contextualSpacing w:val="0"/>
        <w:jc w:val="both"/>
        <w:rPr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</w:rPr>
      </w:pP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e_Cortoba" w:cs="ae_Cortoba" w:eastAsia="ae_Cortoba" w:hAnsi="ae_Cortob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مقاصد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النموذج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التطبيقي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الأحقاف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تمهيد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الوحدة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الموضوعية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لسورة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الأحقاف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مرجعية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حوار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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الإصلاح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عاقبة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المخالفين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للمنهج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سلوك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الإصلاح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الجن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النموذج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التطبيقي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ســـــورة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والحجرات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26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تمهيد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الوحدة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الموضوعية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النموذج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الحجرات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النموذج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التطبيقي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تمهيد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الوحدة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الموضوعية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الأسلوب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منكري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البعث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المنكرين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الأفاق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المنكرين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والبدء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والمعاد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بعث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المنكرين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وحشرهم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الـخـــاتـــــمــــــة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المصادر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والمراجع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المقدمـــــــة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/>
      <w:pgMar w:bottom="1440" w:top="2835" w:left="1800" w:right="1800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AGA Arabesque"/>
  <w:font w:name="Noto Sans Symbols"/>
  <w:font w:name="ae_Cortob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