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bfbfbf" w:val="clear"/>
        <w:bidi w:val="1"/>
        <w:spacing w:after="0" w:before="0" w:line="240" w:lineRule="auto"/>
        <w:ind w:left="0" w:right="0" w:firstLine="28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672590" cy="47434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2590" cy="4743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bfbfbf" w:val="clear"/>
        <w:bidi w:val="1"/>
        <w:spacing w:after="0" w:before="0" w:line="240" w:lineRule="auto"/>
        <w:ind w:left="0" w:right="0" w:firstLine="28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bfbfbf" w:val="clear"/>
        <w:bidi w:val="1"/>
        <w:spacing w:after="0" w:before="0" w:line="240" w:lineRule="auto"/>
        <w:ind w:left="0" w:right="0" w:firstLine="28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1"/>
        </w:rPr>
        <w:t xml:space="preserve">المقـــــدمـــــــة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مظلوم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الكاملين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مصابيح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وإصلاحا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الأساليب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والأمثلة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الكهف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دلالتها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والأستاذ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الاحتفاظ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خصوصية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والعشرين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وراجعت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فتكونت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مفادها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شبهات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الجاحدين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للوحي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والرسالة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مقصودها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إنذار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بالساعة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مقاصدها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تسجيلا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مرتكبهم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وإعلاما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منقلبهم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)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نموذجا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غاير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واستدعت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لتدعم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مصداقية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تلتقي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نموذجا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ابتلاء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وطاعتهم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الآداب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يلتزم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0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ادآب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مضمونها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ۤ)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الجزء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معالجة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المكذبين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ومخاطبتهم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مخاطبة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ودعوتهم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تعريفا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بنماذج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رتبت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تسلسل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ورودها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مراعيا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الترتيب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التوقيفي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جمعتها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قرآنا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المشتركة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الإتباع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44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المشتركة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وتخلفهم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الغزوات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وموضوعها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وتناولت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اجتهد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التوقيفي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تحاشيا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وإتماما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للفائدة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عنوانا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الأبرز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المستنبطة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 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41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واقتضت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تقسيم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تسبقها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الأطروحة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مقسما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بالعنوان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اصطلاحا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واصطلاحا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ً.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رابعا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مصطلح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75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خامسا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أقسام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نشأة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واصطلاحا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ً.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ae_Cortoba" w:cs="ae_Cortoba" w:eastAsia="ae_Cortoba" w:hAnsi="ae_Cortob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e_Cortoba" w:cs="ae_Cortoba" w:eastAsia="ae_Cortoba" w:hAnsi="ae_Cortob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المبحــث</w:t>
      </w:r>
      <w:r w:rsidDel="00000000" w:rsidR="00000000" w:rsidRPr="00000000">
        <w:rPr>
          <w:rFonts w:ascii="ae_Cortoba" w:cs="ae_Cortoba" w:eastAsia="ae_Cortoba" w:hAnsi="ae_Cortob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e_Cortoba" w:cs="ae_Cortoba" w:eastAsia="ae_Cortoba" w:hAnsi="ae_Cortob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المقاصد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مقسما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خمسة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الأحقاف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مرجعية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المخالفين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bookmarkStart w:colFirst="0" w:colLast="0" w:name="30j0zll" w:id="1"/>
    <w:bookmarkEnd w:id="1"/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مقسما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والكافرين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المتخلفين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وآثاره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ُ.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السادس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رؤيا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وأوصافه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ومحاذير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وإرشاد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التطبيقي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مقسما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مباحث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الموضوعية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1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منكري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المنكرين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المنكرين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التأمل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والبدء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المنكرين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وحشرهم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واعتمدت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بفرعيه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بالمأثور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الختام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بلغت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يعصمها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نجحت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ﭽ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ﭾ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ﭿ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ﮀ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ﮁ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ﮂ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ﮃﮄ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ﮅ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ﮆ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ﮇ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ﮈ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ﮉ</w:t>
      </w:r>
      <w:r w:rsidDel="00000000" w:rsidR="00000000" w:rsidRPr="00000000">
        <w:rPr>
          <w:rFonts w:ascii="QCF_P553" w:cs="QCF_P553" w:eastAsia="QCF_P553" w:hAnsi="QCF_P553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QCF_BSML" w:cs="QCF_BSML" w:eastAsia="QCF_BSML" w:hAnsi="QCF_BSM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الجمعة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وهفوات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وتقصيري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281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040" w:right="0" w:firstLine="0"/>
        <w:contextualSpacing w:val="0"/>
        <w:jc w:val="center"/>
        <w:rPr>
          <w:rFonts w:ascii="QCF_P291" w:cs="QCF_P291" w:eastAsia="QCF_P291" w:hAnsi="QCF_P291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وآخر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دعوانا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  <w:r w:rsidDel="00000000" w:rsidR="00000000" w:rsidRPr="00000000">
        <w:rPr>
          <w:rFonts w:ascii="QCF_P291" w:cs="QCF_P291" w:eastAsia="QCF_P291" w:hAnsi="QCF_P291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الباحث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/>
      <w:pgMar w:bottom="1418" w:top="1521" w:left="1758" w:right="1758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QCF_BSML"/>
  <w:font w:name="QCF_P291"/>
  <w:font w:name="Tahoma">
    <w:embedRegular w:fontKey="{00000000-0000-0000-0000-000000000000}" r:id="rId1" w:subsetted="0"/>
    <w:embedBold w:fontKey="{00000000-0000-0000-0000-000000000000}" r:id="rId2" w:subsetted="0"/>
  </w:font>
  <w:font w:name="AGA Arabesque"/>
  <w:font w:name="QCF_P553"/>
  <w:font w:name="ae_Cortob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widowControl w:val="1"/>
      <w:pBdr>
        <w:top w:color="000000" w:space="1" w:sz="12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54" w:right="0" w:hanging="454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نظم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برهان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885،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1،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مكتبة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1402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1982. 18/118</w:t>
      </w:r>
    </w:p>
  </w:footnote>
  <w:footnote w:id="1"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68" w:right="0" w:hanging="16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 4/ 175،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وينظر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مصاعد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للبقاعي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2/485،491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3/5 ،  .</w:t>
      </w:r>
    </w:p>
  </w:footnote>
  <w:footnote w:id="2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454" w:right="0" w:hanging="454"/>
        <w:contextualSpacing w:val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() 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ينظر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صفوة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التفاسير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الصابوني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5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بيروت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طبع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،3/204-216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قواعد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التفسير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الموضوعي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للسورة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القرآنية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 </w:t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1"/>
      </w:rPr>
      <w:t xml:space="preserve">المقدمة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