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ind w:left="0" w:right="0"/>
        <w:contextualSpacing w:val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سورة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إبراهيم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-</w:t>
      </w:r>
      <w:r w:rsidDel="00000000" w:rsidR="00000000" w:rsidRPr="00000000">
        <w:rPr>
          <w:sz w:val="48"/>
          <w:szCs w:val="48"/>
          <w:vertAlign w:val="baseline"/>
          <w:rtl w:val="0"/>
        </w:rPr>
        <w:t xml:space="preserve">-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-1790699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-1790699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إحدى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وخمسون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sz w:val="32"/>
          <w:szCs w:val="32"/>
          <w:vertAlign w:val="baseline"/>
        </w:rPr>
        <w:drawing>
          <wp:inline distB="0" distT="0" distL="114300" distR="114300">
            <wp:extent cx="1166495" cy="33210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332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بدعائك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والأحكام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استعارتان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للضلال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والهدى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بتوفيقه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وتيسيره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الإذن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تسهيل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الحجـاب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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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استعار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لظهوره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موصلة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الاستئناف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نور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فقيل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قرأه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تام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-1498599</wp:posOffset>
                </wp:positionH>
                <wp:positionV relativeFrom="paragraph">
                  <wp:posOffset>-1638299</wp:posOffset>
                </wp:positionV>
                <wp:extent cx="1238250" cy="4000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(1، 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-1498599</wp:posOffset>
                </wp:positionH>
                <wp:positionV relativeFrom="paragraph">
                  <wp:posOffset>-1638299</wp:posOffset>
                </wp:positionV>
                <wp:extent cx="1238250" cy="40005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نقيض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الوأل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النجاة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يشتق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حزن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وهلاك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الهلاك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ينادي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-533399</wp:posOffset>
                </wp:positionV>
                <wp:extent cx="1238250" cy="4000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(2، 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-533399</wp:posOffset>
                </wp:positionV>
                <wp:extent cx="1238250" cy="400050"/>
                <wp:effectExtent b="0" l="0" r="0" t="0"/>
                <wp:wrapNone/>
                <wp:docPr id="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يختارونها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سلوكها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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يطلبون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واعوجاجا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ليتوسلوا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الموصول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للكافرين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ونصبا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ورفعا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المدح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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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الإسناد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كقولك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جد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جد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لغوره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ونشأ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ليبين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ويفقهوا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الاجتهاد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وأداها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بلغتهم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الضحاك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التوراة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ليفسرها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برجوع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يعتد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-1638299</wp:posOffset>
                </wp:positionV>
                <wp:extent cx="1238250" cy="4000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(3، 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-1638299</wp:posOffset>
                </wp:positionV>
                <wp:extent cx="1238250" cy="400050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والإرشاد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الموصل</w:t>
      </w:r>
      <w:r w:rsidDel="00000000" w:rsidR="00000000" w:rsidRPr="00000000">
        <w:rPr>
          <w:vertAlign w:val="baseline"/>
          <w:rtl w:val="1"/>
        </w:rPr>
        <w:t xml:space="preserve"> 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هدايته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مشيئته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لحكمة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-1282699</wp:posOffset>
                </wp:positionV>
                <wp:extent cx="1238250" cy="4000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(4، 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-1282699</wp:posOffset>
                </wp:positionV>
                <wp:extent cx="1238250" cy="400050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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بكثرة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وتعنتهم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لرسوله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وآياته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العصا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معجزاته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الضلال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الهدى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مفس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الإرسال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الأفعال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فالتقدير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وقائعه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مكذبي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وثمود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لوقائعها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وحروبها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نعماؤه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وبلاياه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التخصيص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الإضافة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-1625599</wp:posOffset>
                </wp:positionH>
                <wp:positionV relativeFrom="paragraph">
                  <wp:posOffset>-1638299</wp:posOffset>
                </wp:positionV>
                <wp:extent cx="996950" cy="4000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-1625599</wp:posOffset>
                </wp:positionH>
                <wp:positionV relativeFrom="paragraph">
                  <wp:posOffset>-1638299</wp:posOffset>
                </wp:positionV>
                <wp:extent cx="996950" cy="40005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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بلائه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دائم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نعمائه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مؤمن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نظيره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القامة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-1625599</wp:posOffset>
                </wp:positionH>
                <wp:positionV relativeFrom="paragraph">
                  <wp:posOffset>-850899</wp:posOffset>
                </wp:positionV>
                <wp:extent cx="1238250" cy="4000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(5، 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-1625599</wp:posOffset>
                </wp:positionH>
                <wp:positionV relativeFrom="paragraph">
                  <wp:posOffset>-850899</wp:posOffset>
                </wp:positionV>
                <wp:extent cx="1238250" cy="40005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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ظرف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الإنعام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إنعامه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ينتصب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للنعمة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العطية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الإنعام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اشتمال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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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طرح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التذبيح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وأثبتها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جنسا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مستقلا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فضاعته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-507999</wp:posOffset>
                </wp:positionV>
                <wp:extent cx="1238250" cy="4000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(6، 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-507999</wp:posOffset>
                </wp:positionV>
                <wp:extent cx="1238250" cy="40005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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الإنجاء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فظيعة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التذبيح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اذكروا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واذكروا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تأذن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ومعنى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: </w:t>
      </w:r>
      <w:r w:rsidDel="00000000" w:rsidR="00000000" w:rsidRPr="00000000">
        <w:rPr>
          <w:vertAlign w:val="baseline"/>
          <w:rtl w:val="1"/>
        </w:rPr>
        <w:t xml:space="preserve">آذن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صيغة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التفع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آذن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إيذانا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شائبة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ريب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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إسرائيل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أنعمت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</w:t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بالإيمان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الخالص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الصالح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لأضاعفن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أنعمت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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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غلبة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رحمته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المعطوف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المعطوف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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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مـن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الثقليـن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شكركم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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يستحق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حمد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يحمده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م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د</w:t>
      </w:r>
      <w:r w:rsidDel="00000000" w:rsidR="00000000" w:rsidRPr="00000000">
        <w:rPr>
          <w:b w:val="1"/>
          <w:vertAlign w:val="baseline"/>
          <w:rtl w:val="1"/>
        </w:rPr>
        <w:t xml:space="preserve">َ </w:t>
      </w:r>
      <w:r w:rsidDel="00000000" w:rsidR="00000000" w:rsidRPr="00000000">
        <w:rPr>
          <w:b w:val="1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vertAlign w:val="baseline"/>
          <w:rtl w:val="1"/>
        </w:rPr>
        <w:t xml:space="preserve">ُ </w:t>
      </w:r>
      <w:r w:rsidDel="00000000" w:rsidR="00000000" w:rsidRPr="00000000">
        <w:rPr>
          <w:b w:val="1"/>
          <w:vertAlign w:val="baseline"/>
          <w:rtl w:val="1"/>
        </w:rPr>
        <w:t xml:space="preserve">نفس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قبل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م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الحامدين</w:t>
      </w:r>
      <w:r w:rsidDel="00000000" w:rsidR="00000000" w:rsidRPr="00000000">
        <w:rPr>
          <w:b w:val="1"/>
          <w:vertAlign w:val="baseline"/>
          <w:rtl w:val="1"/>
        </w:rPr>
        <w:t xml:space="preserve"> 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-1790699</wp:posOffset>
                </wp:positionH>
                <wp:positionV relativeFrom="paragraph">
                  <wp:posOffset>-2070099</wp:posOffset>
                </wp:positionV>
                <wp:extent cx="1581150" cy="4000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60188" y="3584738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الآيات (7-9)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-1790699</wp:posOffset>
                </wp:positionH>
                <wp:positionV relativeFrom="paragraph">
                  <wp:posOffset>-2070099</wp:posOffset>
                </wp:positionV>
                <wp:extent cx="1581150" cy="40005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-2095499</wp:posOffset>
                </wp:positionH>
                <wp:positionV relativeFrom="paragraph">
                  <wp:posOffset>-1498599</wp:posOffset>
                </wp:positionV>
                <wp:extent cx="625475" cy="3492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038025" y="3610138"/>
                          <a:ext cx="61595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151/أ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-2095499</wp:posOffset>
                </wp:positionH>
                <wp:positionV relativeFrom="paragraph">
                  <wp:posOffset>-1498599</wp:posOffset>
                </wp:positionV>
                <wp:extent cx="625475" cy="34925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475" cy="349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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 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اعتراض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الترقي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يحصي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فدع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التفصيل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مطمـع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فيـه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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 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اعتراض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الغفير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عدنان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يعرفون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كذب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ابون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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عضوها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غيظا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وضجرا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أشاروا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بأيديهم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نطقت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ألسنتهم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جوابنا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أفواه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اسكتوا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الإكثار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كقولـه</w:t>
      </w:r>
      <w:r w:rsidDel="00000000" w:rsidR="00000000" w:rsidRPr="00000000">
        <w:rPr>
          <w:vertAlign w:val="baseline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-1790699</wp:posOffset>
                </wp:positionH>
                <wp:positionV relativeFrom="paragraph">
                  <wp:posOffset>-1536699</wp:posOffset>
                </wp:positionV>
                <wp:extent cx="996950" cy="40005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-1790699</wp:posOffset>
                </wp:positionH>
                <wp:positionV relativeFrom="paragraph">
                  <wp:posOffset>-1536699</wp:posOffset>
                </wp:positionV>
                <wp:extent cx="996950" cy="400050"/>
                <wp:effectExtent b="0" l="0" r="0" t="0"/>
                <wp:wrapNone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widowControl w:val="0"/>
        <w:bidi w:val="1"/>
        <w:ind w:left="0" w:right="0" w:hanging="2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أصغي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تطيل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-1701799</wp:posOffset>
                </wp:positionH>
                <wp:positionV relativeFrom="paragraph">
                  <wp:posOffset>-850899</wp:posOffset>
                </wp:positionV>
                <wp:extent cx="996950" cy="4000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-1701799</wp:posOffset>
                </wp:positionH>
                <wp:positionV relativeFrom="paragraph">
                  <wp:posOffset>-850899</wp:posOffset>
                </wp:positionV>
                <wp:extent cx="996950" cy="40005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الضحك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والاستهزاء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مجازا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والشرائع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#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9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%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r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$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) $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x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.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!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/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O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F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Å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&amp;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m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/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زعمكم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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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ريبة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-520699</wp:posOffset>
                </wp:positionV>
                <wp:extent cx="1238250" cy="4000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(9، 10)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-520699</wp:posOffset>
                </wp:positionV>
                <wp:extent cx="1238250" cy="40005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 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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ينكروا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لوقوعه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لسطوع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البراهين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الأدلة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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يسندوا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الدعوة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أنفسهم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يدعوكم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للمغفرة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يدعوكم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المغفرة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مقصودة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الاختصاص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ذنوبكم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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 </w:t>
      </w:r>
      <w:r w:rsidDel="00000000" w:rsidR="00000000" w:rsidRPr="00000000">
        <w:rPr>
          <w:vertAlign w:val="baseline"/>
          <w:rtl w:val="1"/>
        </w:rPr>
        <w:t xml:space="preserve">بدلية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تبعيضيه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وإبقاء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الاحتمال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لئلا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يتكلوا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الجميع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ومغفرة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الجميع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أعماركم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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دوننا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بدعواكم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الباطلة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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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دعواكم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ديدن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يرضى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بالمعجزة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ويشرع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الاقتراح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تعنتا</w:t>
      </w:r>
      <w:r w:rsidDel="00000000" w:rsidR="00000000" w:rsidRPr="00000000">
        <w:rPr>
          <w:vertAlign w:val="baseline"/>
          <w:rtl w:val="1"/>
        </w:rPr>
        <w:t xml:space="preserve">ً.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-1562099</wp:posOffset>
                </wp:positionH>
                <wp:positionV relativeFrom="paragraph">
                  <wp:posOffset>-469899</wp:posOffset>
                </wp:positionV>
                <wp:extent cx="1238250" cy="4000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(10، 11)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-1562099</wp:posOffset>
                </wp:positionH>
                <wp:positionV relativeFrom="paragraph">
                  <wp:posOffset>-469899</wp:posOffset>
                </wp:positionV>
                <wp:extent cx="1238250" cy="400050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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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نحن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البشرية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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بالنبوة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والرسالة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تفضلا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فكوننا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مثلكم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ينافي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رسالتنا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استقام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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بإرادته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فدخلوا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أوليا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عذر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التوكل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طريقه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-1879599</wp:posOffset>
                </wp:positionH>
                <wp:positionV relativeFrom="paragraph">
                  <wp:posOffset>-1282699</wp:posOffset>
                </wp:positionV>
                <wp:extent cx="1581150" cy="400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60188" y="3584738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الآيات (11-13)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-1879599</wp:posOffset>
                </wp:positionH>
                <wp:positionV relativeFrom="paragraph">
                  <wp:posOffset>-1282699</wp:posOffset>
                </wp:positionV>
                <wp:extent cx="1581150" cy="4000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بصيغة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</w:t>
      </w:r>
      <w:r w:rsidDel="00000000" w:rsidR="00000000" w:rsidRPr="00000000">
        <w:rPr>
          <w:vertAlign w:val="baseline"/>
          <w:rtl w:val="1"/>
        </w:rPr>
        <w:t xml:space="preserve">؟.</w:t>
      </w:r>
    </w:p>
    <w:p w:rsidR="00000000" w:rsidDel="00000000" w:rsidP="00000000" w:rsidRDefault="00000000" w:rsidRPr="00000000" w14:paraId="0000002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والفروع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 </w:t>
      </w:r>
      <w:r w:rsidDel="00000000" w:rsidR="00000000" w:rsidRPr="00000000">
        <w:rPr>
          <w:rFonts w:ascii="HQPB2" w:cs="HQPB2" w:eastAsia="HQPB2" w:hAnsi="HQPB2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للتعظيم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فليثبت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المتوكلون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توكلهم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ليزدادوا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التوكل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مغبون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الإخراج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فالعود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الصيرورة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إطلاق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المطلق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شعيب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وآثروا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لدلالته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الاستقرار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الإيحاء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-1638299</wp:posOffset>
                </wp:positionV>
                <wp:extent cx="1238250" cy="4000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(13، 14)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-1638299</wp:posOffset>
                </wp:positionV>
                <wp:extent cx="1238250" cy="40005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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إهلاكهم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آذى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جاره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ورثه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داره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الموحى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إهلاك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الظالمين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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المخصوص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الحساب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المقام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مقحم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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[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وعيدي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-2209799</wp:posOffset>
                </wp:positionH>
                <wp:positionV relativeFrom="paragraph">
                  <wp:posOffset>1092200</wp:posOffset>
                </wp:positionV>
                <wp:extent cx="764540" cy="33909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68493" y="3615218"/>
                          <a:ext cx="75501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151/ب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-2209799</wp:posOffset>
                </wp:positionH>
                <wp:positionV relativeFrom="paragraph">
                  <wp:posOffset>1092200</wp:posOffset>
                </wp:positionV>
                <wp:extent cx="764540" cy="33909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540" cy="339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الحكـم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كقولـه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الكفرة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للفريقين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سأل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عدوه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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متكبر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عات</w:t>
      </w:r>
      <w:r w:rsidDel="00000000" w:rsidR="00000000" w:rsidRPr="00000000">
        <w:rPr>
          <w:vertAlign w:val="baseline"/>
          <w:rtl w:val="1"/>
        </w:rPr>
        <w:t xml:space="preserve">ٍ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يؤيد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المستفت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الفريقان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-482599</wp:posOffset>
                </wp:positionV>
                <wp:extent cx="1238250" cy="400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(15، 16)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-482599</wp:posOffset>
                </wp:positionV>
                <wp:extent cx="1238250" cy="4000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2A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الهم</w:t>
      </w:r>
      <w:r w:rsidDel="00000000" w:rsidR="00000000" w:rsidRPr="00000000">
        <w:rPr>
          <w:vertAlign w:val="baseline"/>
          <w:rtl w:val="1"/>
        </w:rPr>
        <w:t xml:space="preserve">ُّ [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ِ</w:t>
        <w:tab/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وراء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قريب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والوراء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مشتركا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الكافر</w:t>
      </w:r>
      <w:r w:rsidDel="00000000" w:rsidR="00000000" w:rsidRPr="00000000">
        <w:rPr>
          <w:vertAlign w:val="baseline"/>
          <w:rtl w:val="1"/>
        </w:rPr>
        <w:t xml:space="preserve">.............................. .....[</w:t>
      </w:r>
      <w:r w:rsidDel="00000000" w:rsidR="00000000" w:rsidRPr="00000000">
        <w:rPr>
          <w:vertAlign w:val="baseline"/>
          <w:rtl w:val="1"/>
        </w:rPr>
        <w:t xml:space="preserve">واقف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جهنم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مخلوق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بعث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-1511299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-1511299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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تقديره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ويسقى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أبهمه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بقولـه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والصديد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جلود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نعوذ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</w:t>
      </w:r>
    </w:p>
    <w:sectPr>
      <w:headerReference r:id="rId29" w:type="default"/>
      <w:footerReference r:id="rId30" w:type="default"/>
      <w:footerReference r:id="rId31" w:type="even"/>
      <w:pgSz w:h="16838" w:w="11906"/>
      <w:pgMar w:bottom="1701" w:top="1985" w:left="1985" w:right="1985" w:header="1134" w:footer="964"/>
      <w:pgNumType w:start="1006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22"/>
        <w:szCs w:val="12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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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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(28-29).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(5/3).</w:t>
      </w:r>
    </w:p>
  </w:footnote>
  <w:footnote w:id="1"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خمسون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المدنيين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(171).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(1/268).</w:t>
      </w:r>
    </w:p>
  </w:footnote>
  <w:footnote w:id="2"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(935-936).</w:t>
      </w:r>
    </w:p>
  </w:footnote>
  <w:footnote w:id="3"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(3/360).</w:t>
      </w:r>
    </w:p>
  </w:footnote>
  <w:footnote w:id="4"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وتيسره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"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(1/512).</w:t>
      </w:r>
    </w:p>
  </w:footnote>
  <w:footnote w:id="6"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(5/393).</w:t>
      </w:r>
    </w:p>
  </w:footnote>
  <w:footnote w:id="7"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موصولة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"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(60/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9"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(1/512).</w:t>
      </w:r>
    </w:p>
  </w:footnote>
  <w:footnote w:id="10"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"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(2/298).</w:t>
      </w:r>
    </w:p>
  </w:footnote>
  <w:footnote w:id="12"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"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(2/25)،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(2/762).</w:t>
      </w:r>
    </w:p>
  </w:footnote>
  <w:footnote w:id="14"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المكتفى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(339).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المكتفى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وانقضائهن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للزركشي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(1/350).</w:t>
      </w:r>
    </w:p>
  </w:footnote>
  <w:footnote w:id="15"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(3/360).</w:t>
      </w:r>
    </w:p>
  </w:footnote>
  <w:footnote w:id="16"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فرسمت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الؤل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"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(15/442)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(15/454)،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(11/715).</w:t>
      </w:r>
    </w:p>
  </w:footnote>
  <w:footnote w:id="18"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(11/738).</w:t>
      </w:r>
    </w:p>
  </w:footnote>
  <w:footnote w:id="19"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(1/106).</w:t>
      </w:r>
    </w:p>
  </w:footnote>
  <w:footnote w:id="20"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(1/160):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يستعملها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يولولون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ويضجون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(13)".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(2/7-8).</w:t>
      </w:r>
    </w:p>
  </w:footnote>
  <w:footnote w:id="21"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2"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"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رفعا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"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الإعرابية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المحيـط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(7/68).</w:t>
      </w:r>
    </w:p>
  </w:footnote>
  <w:footnote w:id="25"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6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تستعمل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باستحالته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الإعجاز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(293)،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الطراز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(3/255).</w:t>
      </w:r>
    </w:p>
  </w:footnote>
  <w:footnote w:id="27"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8"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(3/361).</w:t>
      </w:r>
    </w:p>
  </w:footnote>
  <w:footnote w:id="29"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(44).</w:t>
      </w:r>
    </w:p>
  </w:footnote>
  <w:footnote w:id="30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(3/362).</w:t>
      </w:r>
    </w:p>
  </w:footnote>
  <w:footnote w:id="31"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(1/512-513).</w:t>
      </w:r>
    </w:p>
  </w:footnote>
  <w:footnote w:id="32"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(5/5).</w:t>
      </w:r>
    </w:p>
  </w:footnote>
  <w:footnote w:id="33"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(1/513).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فالتبيين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4"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مكررة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مكررة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(60/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35"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أرسلنا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6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(60/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7"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8"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(16/517)،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(1/513).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أجراها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9"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المسبوقة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حروفه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(4/157).</w:t>
      </w:r>
    </w:p>
  </w:footnote>
  <w:footnote w:id="40"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(5/395).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والمضارع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1"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(3/363).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(5/395).</w:t>
      </w:r>
    </w:p>
  </w:footnote>
  <w:footnote w:id="42"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(3/23).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(552):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نعماؤه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وبلاؤه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تقتضي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أنواعها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3"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بالتخصيص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تخصيص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بالوقائع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44"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5"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46"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(7/71).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إنعامه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علكيم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ينتصب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بعليكم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اذكروا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فائضة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ويجـوز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اذكروا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إنجائكم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الاشتمال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7"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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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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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(49).</w:t>
      </w:r>
    </w:p>
  </w:footnote>
  <w:footnote w:id="48"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(3/516)،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(3/364).</w:t>
      </w:r>
    </w:p>
  </w:footnote>
  <w:footnote w:id="49"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0"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(3/364).</w:t>
      </w:r>
    </w:p>
  </w:footnote>
  <w:footnote w:id="51"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(1/513).</w:t>
      </w:r>
    </w:p>
  </w:footnote>
  <w:footnote w:id="52"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(3/517).</w:t>
      </w:r>
    </w:p>
  </w:footnote>
  <w:footnote w:id="53"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4"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إيذانا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بليغا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تنتفي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الشكوك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وتنزاح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5"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6"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السالكين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(1/12).</w:t>
      </w:r>
    </w:p>
  </w:footnote>
  <w:footnote w:id="57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8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9"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(1/513).</w:t>
      </w:r>
    </w:p>
  </w:footnote>
  <w:footnote w:id="60"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(720).</w:t>
      </w:r>
    </w:p>
  </w:footnote>
  <w:footnote w:id="61"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2"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واستظهره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(5/396).</w:t>
      </w:r>
    </w:p>
  </w:footnote>
  <w:footnote w:id="63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64"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65"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66"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اعترض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الوقوف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(3/326).</w:t>
      </w:r>
    </w:p>
  </w:footnote>
  <w:footnote w:id="67"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(16/530)،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(5/9).</w:t>
      </w:r>
    </w:p>
  </w:footnote>
  <w:footnote w:id="68"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(3/365)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69"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(119).</w:t>
      </w:r>
    </w:p>
  </w:footnote>
  <w:footnote w:id="70"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(2/2/341)،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المستـدرك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(2/350)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ووافقه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(16/533)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(3/519).</w:t>
      </w:r>
    </w:p>
  </w:footnote>
  <w:footnote w:id="71"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وحكاه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(4/349).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72"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(4/338)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(16/535)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3"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(13/278)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أفواههم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إنسانا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للمخاطب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(4/348).</w:t>
      </w:r>
    </w:p>
  </w:footnote>
  <w:footnote w:id="74"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(5/397).</w:t>
      </w:r>
    </w:p>
  </w:footnote>
  <w:footnote w:id="75"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(2/69-70):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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وأيادي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بأفواههم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بألسنتهم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أدخلك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(3/519).</w:t>
      </w:r>
    </w:p>
  </w:footnote>
  <w:footnote w:id="76"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7"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الأيادي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والأفواه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الجارحة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(13/279).</w:t>
      </w:r>
    </w:p>
  </w:footnote>
  <w:footnote w:id="78"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(3/365-366)،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(5/397).</w:t>
      </w:r>
    </w:p>
  </w:footnote>
  <w:footnote w:id="79"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متعديا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لازما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80"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(3/366).</w:t>
      </w:r>
    </w:p>
  </w:footnote>
  <w:footnote w:id="81"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(5/398)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(7/74).</w:t>
      </w:r>
    </w:p>
  </w:footnote>
  <w:footnote w:id="82"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3"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(25).</w:t>
      </w:r>
    </w:p>
  </w:footnote>
  <w:footnote w:id="84"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(16/537).</w:t>
      </w:r>
    </w:p>
  </w:footnote>
  <w:footnote w:id="85"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6"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87"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(3/328):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ويراها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للتبعيض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بغفران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يستأنفه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إيمانه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مسكوتا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فالغفران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8"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(1/514).</w:t>
      </w:r>
    </w:p>
  </w:footnote>
  <w:footnote w:id="89"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(38).</w:t>
      </w:r>
    </w:p>
  </w:footnote>
  <w:footnote w:id="90"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(19/74)،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(9/347).</w:t>
      </w:r>
    </w:p>
  </w:footnote>
  <w:footnote w:id="91"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(70).</w:t>
      </w:r>
    </w:p>
  </w:footnote>
  <w:footnote w:id="92"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يتوكلوا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3"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واضحتين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(62/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(13/284).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والحنابلة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حجتيه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للآمدي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(2/796).</w:t>
      </w:r>
    </w:p>
  </w:footnote>
  <w:footnote w:id="94"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التبعيض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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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(3-4)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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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(10-12)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للتفرقة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ولئلا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الميعاد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الذنوب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اعتداد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وللتخصيص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التصريح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وإبقاء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الاحتمال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لئلا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يتكلوا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5"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(1/514): "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أعماركم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96"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7"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(85).</w:t>
      </w:r>
    </w:p>
  </w:footnote>
  <w:footnote w:id="98"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(108).</w:t>
      </w:r>
    </w:p>
  </w:footnote>
  <w:footnote w:id="99"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(48).</w:t>
      </w:r>
    </w:p>
  </w:footnote>
  <w:footnote w:id="100"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بالسبل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(10/454).</w:t>
      </w:r>
    </w:p>
  </w:footnote>
  <w:footnote w:id="101"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(5/400).</w:t>
      </w:r>
    </w:p>
  </w:footnote>
  <w:footnote w:id="102"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التوجيهين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للمتوكلين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(11).</w:t>
      </w:r>
    </w:p>
  </w:footnote>
  <w:footnote w:id="103"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4"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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الأعـراف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(88).</w:t>
      </w:r>
    </w:p>
  </w:footnote>
  <w:footnote w:id="105"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(62/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06"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7"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(1/515).</w:t>
      </w:r>
    </w:p>
  </w:footnote>
  <w:footnote w:id="108"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(92).</w:t>
      </w:r>
    </w:p>
  </w:footnote>
  <w:footnote w:id="109"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(3/369).</w:t>
      </w:r>
    </w:p>
  </w:footnote>
  <w:footnote w:id="110"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1"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(5/401).</w:t>
      </w:r>
    </w:p>
  </w:footnote>
  <w:footnote w:id="112"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3"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وفتحها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(621).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(2/538).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(5/401).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استنصروا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(16/543-545)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والاستفتاح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استفتحوا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إنفاذ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بنصرهم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(3/330).</w:t>
      </w:r>
    </w:p>
  </w:footnote>
  <w:footnote w:id="114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(89).</w:t>
      </w:r>
    </w:p>
  </w:footnote>
  <w:footnote w:id="115"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(16/545)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(16/544)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(4/351).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واستعجال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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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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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(16).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16"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منسوب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7"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فأفلح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(13/291).</w:t>
      </w:r>
    </w:p>
  </w:footnote>
  <w:footnote w:id="118"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مستفتحون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لخيبتهم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لخسارهم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القبيلين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19"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(3/369).</w:t>
      </w:r>
    </w:p>
  </w:footnote>
  <w:footnote w:id="120"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1"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2"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لهدبة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الحطيئة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(9/328)،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(7/79)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أمسيت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23"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وحكاه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ثعلب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توارى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(3/156-157)،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(15/304)،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(1/193).</w:t>
      </w:r>
    </w:p>
  </w:footnote>
  <w:footnote w:id="124"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5"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(1/515).</w:t>
      </w:r>
    </w:p>
  </w:footnote>
  <w:footnote w:id="126"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(564).</w:t>
      </w:r>
    </w:p>
  </w:footnote>
  <w:footnote w:id="127"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ويسقى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عذابها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(1/515).</w:t>
      </w:r>
    </w:p>
  </w:footnote>
  <w:footnote w:id="128"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(16/547-548)،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(1/338)،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إبراهيم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4.png"/><Relationship Id="rId22" Type="http://schemas.openxmlformats.org/officeDocument/2006/relationships/image" Target="media/image40.png"/><Relationship Id="rId21" Type="http://schemas.openxmlformats.org/officeDocument/2006/relationships/image" Target="media/image36.png"/><Relationship Id="rId24" Type="http://schemas.openxmlformats.org/officeDocument/2006/relationships/image" Target="media/image8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8.png"/><Relationship Id="rId26" Type="http://schemas.openxmlformats.org/officeDocument/2006/relationships/image" Target="media/image12.png"/><Relationship Id="rId25" Type="http://schemas.openxmlformats.org/officeDocument/2006/relationships/image" Target="media/image10.png"/><Relationship Id="rId28" Type="http://schemas.openxmlformats.org/officeDocument/2006/relationships/image" Target="media/image14.png"/><Relationship Id="rId27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eader" Target="header1.xml"/><Relationship Id="rId7" Type="http://schemas.openxmlformats.org/officeDocument/2006/relationships/image" Target="media/image32.png"/><Relationship Id="rId8" Type="http://schemas.openxmlformats.org/officeDocument/2006/relationships/image" Target="media/image2.png"/><Relationship Id="rId31" Type="http://schemas.openxmlformats.org/officeDocument/2006/relationships/footer" Target="footer2.xml"/><Relationship Id="rId30" Type="http://schemas.openxmlformats.org/officeDocument/2006/relationships/footer" Target="footer1.xml"/><Relationship Id="rId11" Type="http://schemas.openxmlformats.org/officeDocument/2006/relationships/image" Target="media/image38.png"/><Relationship Id="rId10" Type="http://schemas.openxmlformats.org/officeDocument/2006/relationships/image" Target="media/image42.png"/><Relationship Id="rId13" Type="http://schemas.openxmlformats.org/officeDocument/2006/relationships/image" Target="media/image20.png"/><Relationship Id="rId12" Type="http://schemas.openxmlformats.org/officeDocument/2006/relationships/image" Target="media/image22.png"/><Relationship Id="rId15" Type="http://schemas.openxmlformats.org/officeDocument/2006/relationships/image" Target="media/image24.png"/><Relationship Id="rId14" Type="http://schemas.openxmlformats.org/officeDocument/2006/relationships/image" Target="media/image26.png"/><Relationship Id="rId17" Type="http://schemas.openxmlformats.org/officeDocument/2006/relationships/image" Target="media/image16.png"/><Relationship Id="rId16" Type="http://schemas.openxmlformats.org/officeDocument/2006/relationships/image" Target="media/image18.png"/><Relationship Id="rId19" Type="http://schemas.openxmlformats.org/officeDocument/2006/relationships/image" Target="media/image30.png"/><Relationship Id="rId18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