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يتكلف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عطشه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vertAlign w:val="baseline"/>
          <w:rtl w:val="1"/>
        </w:rPr>
        <w:t xml:space="preserve">الشرب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إساغته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بشاعته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بالإساغة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شراب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سائغ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الآمه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يأتيه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شعرة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مستقل</w:t>
      </w:r>
      <w:r w:rsidDel="00000000" w:rsidR="00000000" w:rsidRPr="00000000">
        <w:rPr>
          <w:vertAlign w:val="baseline"/>
          <w:rtl w:val="1"/>
        </w:rPr>
        <w:t xml:space="preserve">ٌ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ليستريح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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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وفيما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يستقبله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المتصوفة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عياض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الأنفاس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وحبسها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الأجساد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-939799</wp:posOffset>
                </wp:positionV>
                <wp:extent cx="996950" cy="400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-939799</wp:posOffset>
                </wp:positionV>
                <wp:extent cx="996950" cy="40005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منقطعة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بالقحط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فابتلوا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فاستفتحوا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طلبوا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المطر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والفتح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أسمائه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فخيب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رجاءهم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يسقيهم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جهنم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خذوا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بالقحط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الأرحام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فادع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يسقيهم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فدعا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فسقوا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أبوطالب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وأبيض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ستسقى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الغمام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بوجه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  <w:tab/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مال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اليتامى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للأرامل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-1295399</wp:posOffset>
                </wp:positionV>
                <wp:extent cx="1238250" cy="4000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(17، 18)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-1295399</wp:posOffset>
                </wp:positionV>
                <wp:extent cx="1238250" cy="40005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صفتهم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العجيبة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مستأنفة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الغريبة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كفروا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ماد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vertAlign w:val="baseline"/>
          <w:rtl w:val="1"/>
        </w:rPr>
        <w:t xml:space="preserve">معروف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وأصله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الهلاك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vertAlign w:val="baseline"/>
          <w:rtl w:val="1"/>
        </w:rPr>
        <w:t xml:space="preserve">الرياح</w:t>
      </w:r>
      <w:r w:rsidDel="00000000" w:rsidR="00000000" w:rsidRPr="00000000">
        <w:rPr>
          <w:vertAlign w:val="baseline"/>
          <w:rtl w:val="1"/>
        </w:rPr>
        <w:t xml:space="preserve"> 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إرادة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هبوب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نهار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صائم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وليل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قائم</w:t>
      </w:r>
      <w:r w:rsidDel="00000000" w:rsidR="00000000" w:rsidRPr="00000000">
        <w:rPr>
          <w:vertAlign w:val="baseline"/>
          <w:rtl w:val="1"/>
        </w:rPr>
        <w:t xml:space="preserve">ٌ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الاشتداد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الهبوب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زمانه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الحسبان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يطعمون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الجائع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ويكسون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ويغيثون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الملهوف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مفخرة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سابقوا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مسبوقة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وضوء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</w:t>
      </w:r>
      <w:r w:rsidDel="00000000" w:rsidR="00000000" w:rsidRPr="00000000">
        <w:rPr>
          <w:rFonts w:ascii="HQPB2" w:cs="HQPB2" w:eastAsia="HQPB2" w:hAnsi="HQPB2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اقتضته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مشيئته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ممكن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vertAlign w:val="baseline"/>
          <w:rtl w:val="1"/>
        </w:rPr>
        <w:t xml:space="preserve">خالق</w:t>
      </w:r>
      <w:r w:rsidDel="00000000" w:rsidR="00000000" w:rsidRPr="00000000">
        <w:rPr>
          <w:vertAlign w:val="baseline"/>
          <w:rtl w:val="1"/>
        </w:rPr>
        <w:t xml:space="preserve"> 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والمختار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صيغة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وفاقا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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يعدمكم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آخرين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إعدامكم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بأمثالكم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بعسير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ِ: </w:t>
      </w:r>
      <w:r w:rsidDel="00000000" w:rsidR="00000000" w:rsidRPr="00000000">
        <w:rPr>
          <w:vertAlign w:val="baseline"/>
          <w:rtl w:val="1"/>
        </w:rPr>
        <w:t xml:space="preserve">القوة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والشدة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-1803399</wp:posOffset>
                </wp:positionH>
                <wp:positionV relativeFrom="paragraph">
                  <wp:posOffset>-533399</wp:posOffset>
                </wp:positionV>
                <wp:extent cx="1581150" cy="400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560188" y="3584738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الآيات (19-21)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-1803399</wp:posOffset>
                </wp:positionH>
                <wp:positionV relativeFrom="paragraph">
                  <wp:posOffset>-533399</wp:posOffset>
                </wp:positionV>
                <wp:extent cx="1581150" cy="40005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يبرزون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للحساب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والمجازاة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عب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لتحقق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يبرزون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اعتقادهم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ارتكبوه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الفواحش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ويظنون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خاف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خيالا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فاسدا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الأتباع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للرؤساء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واوا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والـ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 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ونظائرهما</w:t>
      </w:r>
      <w:r w:rsidDel="00000000" w:rsidR="00000000" w:rsidRPr="00000000">
        <w:rPr>
          <w:vertAlign w:val="baseline"/>
          <w:rtl w:val="1"/>
        </w:rPr>
        <w:t xml:space="preserve">؟.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تخفيفهما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بالتسهيل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فرسمت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المقنع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رسمت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الإيصال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والتسهيل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يفخم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فيميلها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بشيء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-495299</wp:posOffset>
                </wp:positionV>
                <wp:extent cx="996950" cy="400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-495299</wp:posOffset>
                </wp:positionV>
                <wp:extent cx="996950" cy="40005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بعدها</w:t>
      </w:r>
      <w:r w:rsidDel="00000000" w:rsidR="00000000" w:rsidRPr="00000000">
        <w:rPr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بعدها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أبوعمرو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تطرفت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أشبهت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فألحقت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مقلدين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معرضين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ونصائحهم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كغائب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صارفون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vertAlign w:val="baseline"/>
          <w:rtl w:val="1"/>
        </w:rPr>
        <w:t xml:space="preserve">كف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vertAlign w:val="baseline"/>
          <w:rtl w:val="0"/>
        </w:rPr>
        <w:t xml:space="preserve">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للتبيين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والثانية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للتبعيض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للاهتمام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للتبعيض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والثانية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إغناء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-482599</wp:posOffset>
                </wp:positionV>
                <wp:extent cx="996950" cy="400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-482599</wp:posOffset>
                </wp:positionV>
                <wp:extent cx="996950" cy="40005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-2120899</wp:posOffset>
                </wp:positionH>
                <wp:positionV relativeFrom="paragraph">
                  <wp:posOffset>76200</wp:posOffset>
                </wp:positionV>
                <wp:extent cx="711200" cy="32893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95163" y="3620298"/>
                          <a:ext cx="70167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  <w:t xml:space="preserve">152/أ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-2120899</wp:posOffset>
                </wp:positionH>
                <wp:positionV relativeFrom="paragraph">
                  <wp:posOffset>76200</wp:posOffset>
                </wp:positionV>
                <wp:extent cx="711200" cy="32893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328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الرؤساء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للإيمان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ضللنا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فأضللناكم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لأنفسنا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تتفاوت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الاعتذار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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منجى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حاص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تأخر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معنـاه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جـاص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بالجيم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الفريقين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والمستكبرين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والمحيص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فرغ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السعير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يقوم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استقرار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الفريقين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خطيبا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للأشقياء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الثقلين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وكذبه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كالإخلاف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تسلط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وإجبار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دعوتكم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الاستثناء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منقطع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تسويله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-1244599</wp:posOffset>
                </wp:positionV>
                <wp:extent cx="1238250" cy="4000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(21، 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-1244599</wp:posOffset>
                </wp:positionV>
                <wp:extent cx="1238250" cy="40005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...........................</w:t>
        <w:tab/>
        <w:tab/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جيع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-1676399</wp:posOffset>
                </wp:positionV>
                <wp:extent cx="996950" cy="4000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-1676399</wp:posOffset>
                </wp:positionV>
                <wp:extent cx="996950" cy="40005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أسرعتم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إجابتي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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اغتررتم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تيقن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العداوة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اختيار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مجبرا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فكلا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بمغيثكم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الصراخ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الصوت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كان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يقوم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بالليل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سمع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الص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ار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-1244599</wp:posOffset>
                </wp:positionV>
                <wp:extent cx="996950" cy="400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-1244599</wp:posOffset>
                </wp:positionV>
                <wp:extent cx="996950" cy="40005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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ساكنة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غلامي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الساكنان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إمكانه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ولتمكن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الإدغام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الساكنين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مطردة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ضعيفة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فلضعف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بصيرته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يوافـق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تواتر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واجـب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القبـول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والشعـر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الـذي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مجهول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للأغلب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العجلي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مسطور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ديوانه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-1650999</wp:posOffset>
                </wp:positionH>
                <wp:positionV relativeFrom="paragraph">
                  <wp:posOffset>-863599</wp:posOffset>
                </wp:positionV>
                <wp:extent cx="996950" cy="400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-1650999</wp:posOffset>
                </wp:positionH>
                <wp:positionV relativeFrom="paragraph">
                  <wp:posOffset>-863599</wp:posOffset>
                </wp:positionV>
                <wp:extent cx="996950" cy="40005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 </w:t>
      </w:r>
      <w:r w:rsidDel="00000000" w:rsidR="00000000" w:rsidRPr="00000000">
        <w:rPr>
          <w:vertAlign w:val="baseline"/>
          <w:rtl w:val="1"/>
        </w:rPr>
        <w:t xml:space="preserve">بإشراككم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بإشراكهم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تبرؤه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 </w:t>
      </w:r>
      <w:r w:rsidDel="00000000" w:rsidR="00000000" w:rsidRPr="00000000">
        <w:rPr>
          <w:vertAlign w:val="baseline"/>
          <w:rtl w:val="1"/>
        </w:rPr>
        <w:t xml:space="preserve">مصدرية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موصول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أشركتمونيه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طاعتكم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الأوثان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إشراككم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لآدم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شركت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وأشركنيه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فيتعدى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بالهمزة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تحسرا</w:t>
      </w:r>
      <w:r w:rsidDel="00000000" w:rsidR="00000000" w:rsidRPr="00000000">
        <w:rPr>
          <w:vertAlign w:val="baseline"/>
          <w:rtl w:val="1"/>
        </w:rPr>
        <w:t xml:space="preserve">ً؛ </w:t>
      </w:r>
      <w:r w:rsidDel="00000000" w:rsidR="00000000" w:rsidRPr="00000000">
        <w:rPr>
          <w:vertAlign w:val="baseline"/>
          <w:rtl w:val="1"/>
        </w:rPr>
        <w:t xml:space="preserve">حكاه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إيقاظا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للناظرين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-914399</wp:posOffset>
                </wp:positionV>
                <wp:extent cx="1238250" cy="400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(22، 23)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-914399</wp:posOffset>
                </wp:positionV>
                <wp:extent cx="1238250" cy="4000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بتوفيقه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وإرادته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بيده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مفتاح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الجنة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للتشريف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ملاقاة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sectPr>
      <w:headerReference r:id="rId25" w:type="default"/>
      <w:footerReference r:id="rId26" w:type="default"/>
      <w:footerReference r:id="rId27" w:type="even"/>
      <w:pgSz w:h="16838" w:w="11906"/>
      <w:pgMar w:bottom="1701" w:top="1985" w:left="1985" w:right="1985" w:header="1134" w:footer="851"/>
      <w:pgNumType w:start="102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14"/>
        <w:szCs w:val="11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(1/261)،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(8/46).</w:t>
      </w:r>
    </w:p>
  </w:footnote>
  <w:footnote w:id="1"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(1/515).</w:t>
      </w:r>
    </w:p>
  </w:footnote>
  <w:footnote w:id="2"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(3/116):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والغين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واستمراره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سوغا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(8/435).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يزدرده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كراهته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مسيغه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(16/549):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ثناؤه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(1/208-210)،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(4/341).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يحملون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الإدخال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"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وتعظيما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لعقوبته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(16/551)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Èe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Íh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ويأتيه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أعضـاء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Íh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فيستريح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بالحناجر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"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Èe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5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"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(1023).</w:t>
      </w:r>
    </w:p>
  </w:footnote>
  <w:footnote w:id="7"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(371):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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(68)...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يزعمه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معتادا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(3/370-371)،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(9/352)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"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"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(332).</w:t>
      </w:r>
    </w:p>
  </w:footnote>
  <w:footnote w:id="11"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احتمالا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(5/401).</w:t>
      </w:r>
    </w:p>
  </w:footnote>
  <w:footnote w:id="12"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(6/19)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13"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(1/252).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والملجأ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والمطعم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(11/94).</w:t>
      </w:r>
    </w:p>
  </w:footnote>
  <w:footnote w:id="14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(1/447).</w:t>
      </w:r>
    </w:p>
  </w:footnote>
  <w:footnote w:id="15"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(3/157).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6"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أعمالهم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(3/371)،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(7/82).</w:t>
      </w:r>
    </w:p>
  </w:footnote>
  <w:footnote w:id="17"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تفخيم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"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"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(14/120)،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(3/185).</w:t>
      </w:r>
    </w:p>
  </w:footnote>
  <w:footnote w:id="20"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(2/223).</w:t>
      </w:r>
    </w:p>
  </w:footnote>
  <w:footnote w:id="21"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(516).</w:t>
      </w:r>
    </w:p>
  </w:footnote>
  <w:footnote w:id="22"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(3/371).</w:t>
      </w:r>
    </w:p>
  </w:footnote>
  <w:footnote w:id="23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(23).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(3/371).</w:t>
      </w:r>
    </w:p>
  </w:footnote>
  <w:footnote w:id="25"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واكتفى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26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مستحيلا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7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معطوفة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خالق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(2/298).</w:t>
      </w:r>
    </w:p>
  </w:footnote>
  <w:footnote w:id="28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9"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ووفاقا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30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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الجاثية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التغابن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(3).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(241).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يوضحه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وانتصب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1"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(4/38):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ضاهاهما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(5/374).</w:t>
      </w:r>
    </w:p>
  </w:footnote>
  <w:footnote w:id="32"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(1/516).</w:t>
      </w:r>
    </w:p>
  </w:footnote>
  <w:footnote w:id="33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4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35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36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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/13.</w:t>
      </w:r>
    </w:p>
  </w:footnote>
  <w:footnote w:id="37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8"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نطقا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والإشارات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(46).</w:t>
      </w:r>
    </w:p>
  </w:footnote>
  <w:footnote w:id="39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معظمها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خفيا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(801).</w:t>
      </w:r>
    </w:p>
  </w:footnote>
  <w:footnote w:id="40"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ووفاة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وتجويده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تصانيف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444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(18/77)،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(1/503).</w:t>
      </w:r>
    </w:p>
  </w:footnote>
  <w:footnote w:id="41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نشره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برتزل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ومتداول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دهمان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قمحاوي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2"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الضعفاء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والشفعاء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(5/406).</w:t>
      </w:r>
    </w:p>
  </w:footnote>
  <w:footnote w:id="45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6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7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8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(58-59):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ورسمت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لخفائها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فألحقت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ألحقت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9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مظانه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0"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(3/372-373).</w:t>
      </w:r>
    </w:p>
  </w:footnote>
  <w:footnote w:id="51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(15/139):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الجاثية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(19)...."</w:t>
      </w:r>
    </w:p>
  </w:footnote>
  <w:footnote w:id="52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مغنون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(1/516).</w:t>
      </w:r>
    </w:p>
  </w:footnote>
  <w:footnote w:id="53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54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(1/516).</w:t>
      </w:r>
    </w:p>
  </w:footnote>
  <w:footnote w:id="55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56"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7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(1/516).</w:t>
      </w:r>
    </w:p>
  </w:footnote>
  <w:footnote w:id="58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(2/124)،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(7/19).</w:t>
      </w:r>
    </w:p>
  </w:footnote>
  <w:footnote w:id="60"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(3/158).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(7/132):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(7/11).</w:t>
      </w:r>
    </w:p>
  </w:footnote>
  <w:footnote w:id="61"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(4/408).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الرؤساء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ً-: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(5/407).</w:t>
      </w:r>
    </w:p>
  </w:footnote>
  <w:footnote w:id="62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كالمبيت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ننجو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كالمغيب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(1/517).</w:t>
      </w:r>
    </w:p>
  </w:footnote>
  <w:footnote w:id="63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(2/55-56):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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أتيتك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بارحة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64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كالإخلاف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5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والواحـدي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البسيــط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واستظهره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(1/517).</w:t>
      </w:r>
    </w:p>
  </w:footnote>
  <w:footnote w:id="66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8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  <w:tab/>
        <w:t xml:space="preserve">......................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زحفت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بفرسان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(1/368).</w:t>
      </w:r>
    </w:p>
  </w:footnote>
  <w:footnote w:id="67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أبرزه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(13/301).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(19/88)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بتقوية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الوساوس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8"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9"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الشقاوة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ويحصلها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التزيين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مخلوقة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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التكوير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(29).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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يزعمون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يسلبون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ويزعمون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كالريشة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(8/98، 118، 119)،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(299، 371).</w:t>
      </w:r>
    </w:p>
  </w:footnote>
  <w:footnote w:id="70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(16/562-565)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(2/330).</w:t>
      </w:r>
    </w:p>
  </w:footnote>
  <w:footnote w:id="71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2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(3/33).</w:t>
      </w:r>
    </w:p>
  </w:footnote>
  <w:footnote w:id="73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التهجد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وقصرها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74"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صياحه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(3/21).</w:t>
      </w:r>
    </w:p>
  </w:footnote>
  <w:footnote w:id="75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6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(109).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المحيـط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(2/299).</w:t>
      </w:r>
    </w:p>
  </w:footnote>
  <w:footnote w:id="77"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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وحذفت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وأدغمتا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(2/57).</w:t>
      </w:r>
    </w:p>
  </w:footnote>
  <w:footnote w:id="78"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(2/76).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(203).</w:t>
      </w:r>
    </w:p>
  </w:footnote>
  <w:footnote w:id="79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تصويب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والاحتجاج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0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بقطرب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لبكوره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الاشتقاق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الأضداد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(1/242).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(7/90).</w:t>
      </w:r>
    </w:p>
  </w:footnote>
  <w:footnote w:id="81"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(1037).</w:t>
      </w:r>
    </w:p>
  </w:footnote>
  <w:footnote w:id="82"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(2/298).</w:t>
      </w:r>
    </w:p>
  </w:footnote>
  <w:footnote w:id="83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4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5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تؤخذ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فشو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(1/10-11).</w:t>
        <w:tab/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والاحتجاج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(5/409)،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(7/89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(2/298).</w:t>
      </w:r>
    </w:p>
  </w:footnote>
  <w:footnote w:id="86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واستشهدوا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مجهول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ِّ".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مرذولة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التجرؤ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بضعفها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تؤخذ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رغبة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فأرغب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مجهول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(5/409).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الشذوذ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7"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الأغلب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حارثة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العجلي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بنهاوند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بالقصيد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وأطاله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رؤبة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(1/56).</w:t>
      </w:r>
    </w:p>
  </w:footnote>
  <w:footnote w:id="88"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منسوبا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أمويون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منسوب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(2/49).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الأغلب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العبقري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حواشي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(21).</w:t>
      </w:r>
    </w:p>
  </w:footnote>
  <w:footnote w:id="89"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(5/409).</w:t>
      </w:r>
    </w:p>
  </w:footnote>
  <w:footnote w:id="90"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بإشراككم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بإشراكهم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تبرؤه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التبرؤ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مسندة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الإشراك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1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(2/76).</w:t>
      </w:r>
    </w:p>
  </w:footnote>
  <w:footnote w:id="92"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موصولة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أشركتمونيه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3"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(1/517).</w:t>
      </w:r>
    </w:p>
  </w:footnote>
  <w:footnote w:id="94"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احتمالا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(5/409).</w:t>
      </w:r>
    </w:p>
  </w:footnote>
  <w:footnote w:id="95"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(19/91).</w:t>
      </w:r>
    </w:p>
  </w:footnote>
  <w:footnote w:id="96"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7"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8"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(14، 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(12).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9"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(16/566)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(1/517).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(495).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(1/450).</w:t>
      </w:r>
    </w:p>
  </w:footnote>
  <w:footnote w:id="100"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(73).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إبراهيم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ind w:left="0" w:right="0"/>
      <w:jc w:val="center"/>
    </w:pPr>
    <w:rPr>
      <w:b w:val="1"/>
      <w:sz w:val="34"/>
      <w:szCs w:val="3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8.png"/><Relationship Id="rId22" Type="http://schemas.openxmlformats.org/officeDocument/2006/relationships/image" Target="media/image2.png"/><Relationship Id="rId21" Type="http://schemas.openxmlformats.org/officeDocument/2006/relationships/image" Target="media/image32.png"/><Relationship Id="rId24" Type="http://schemas.openxmlformats.org/officeDocument/2006/relationships/image" Target="media/image6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4.png"/><Relationship Id="rId26" Type="http://schemas.openxmlformats.org/officeDocument/2006/relationships/footer" Target="footer1.xml"/><Relationship Id="rId25" Type="http://schemas.openxmlformats.org/officeDocument/2006/relationships/header" Target="header1.xml"/><Relationship Id="rId27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4.png"/><Relationship Id="rId8" Type="http://schemas.openxmlformats.org/officeDocument/2006/relationships/image" Target="media/image20.png"/><Relationship Id="rId11" Type="http://schemas.openxmlformats.org/officeDocument/2006/relationships/image" Target="media/image14.png"/><Relationship Id="rId10" Type="http://schemas.openxmlformats.org/officeDocument/2006/relationships/image" Target="media/image30.png"/><Relationship Id="rId13" Type="http://schemas.openxmlformats.org/officeDocument/2006/relationships/image" Target="media/image18.png"/><Relationship Id="rId12" Type="http://schemas.openxmlformats.org/officeDocument/2006/relationships/image" Target="media/image12.png"/><Relationship Id="rId15" Type="http://schemas.openxmlformats.org/officeDocument/2006/relationships/image" Target="media/image10.png"/><Relationship Id="rId14" Type="http://schemas.openxmlformats.org/officeDocument/2006/relationships/image" Target="media/image16.png"/><Relationship Id="rId17" Type="http://schemas.openxmlformats.org/officeDocument/2006/relationships/image" Target="media/image36.png"/><Relationship Id="rId16" Type="http://schemas.openxmlformats.org/officeDocument/2006/relationships/image" Target="media/image8.png"/><Relationship Id="rId19" Type="http://schemas.openxmlformats.org/officeDocument/2006/relationships/image" Target="media/image26.png"/><Relationship Id="rId18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