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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الأشقياء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وأحوال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السعداء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أردفها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بضرب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كشفا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حقيقتها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وإبرازا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للمعقول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المحسوس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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[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طيبة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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تقول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شر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الأمير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زيدا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كساه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حلة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وحمله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فرس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ينتصب</w:t>
      </w:r>
      <w:r w:rsidDel="00000000" w:rsidR="00000000" w:rsidRPr="00000000">
        <w:rPr>
          <w:vertAlign w:val="baseline"/>
          <w:rtl w:val="1"/>
        </w:rPr>
        <w:t xml:space="preserve"> 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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تضمين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التصيير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صي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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محذوف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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ضارب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بعروقها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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وأعلاها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فروعها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الأغصان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واكتفى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بالجنس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فيتناول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الاستغراق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يستغرق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ثمرها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عـادة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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بـإرادة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خالقهـا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كو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نهـا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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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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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تصويرا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للمعقول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المحسوس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تقريبا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الأفهام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استؤصلت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خذت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تها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وأصل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ِّ: </w:t>
      </w:r>
      <w:r w:rsidDel="00000000" w:rsidR="00000000" w:rsidRPr="00000000">
        <w:rPr>
          <w:vertAlign w:val="baseline"/>
          <w:rtl w:val="1"/>
        </w:rPr>
        <w:t xml:space="preserve">القطع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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ثبات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عروقها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تنجعف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بأدنى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ريح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-1727199</wp:posOffset>
                </wp:positionH>
                <wp:positionV relativeFrom="paragraph">
                  <wp:posOffset>-2019299</wp:posOffset>
                </wp:positionV>
                <wp:extent cx="1581150" cy="40005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560188" y="3584738"/>
                          <a:ext cx="1571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الآيات (24-26)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-1727199</wp:posOffset>
                </wp:positionH>
                <wp:positionV relativeFrom="paragraph">
                  <wp:posOffset>-2019299</wp:posOffset>
                </wp:positionV>
                <wp:extent cx="1581150" cy="400050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الطيبة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التوحيد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تورث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ثوابا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كالتسبيحة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والتحميدة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والاستغفار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والتوبة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شهادة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فينطبق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/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فالتنكير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للتعظيم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والشجرة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شجرة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كالنخل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شبه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النخلة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الأشجار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: « </w:t>
      </w:r>
      <w:r w:rsidDel="00000000" w:rsidR="00000000" w:rsidRPr="00000000">
        <w:rPr>
          <w:b w:val="1"/>
          <w:vertAlign w:val="baseline"/>
          <w:rtl w:val="1"/>
        </w:rPr>
        <w:t xml:space="preserve">إنها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مثل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المؤمن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الخبيثة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معصية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تؤدي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والشجرة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الخبيثة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-1257299</wp:posOffset>
                </wp:positionV>
                <wp:extent cx="996950" cy="40005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-1257299</wp:posOffset>
                </wp:positionV>
                <wp:extent cx="996950" cy="400050"/>
                <wp:effectExtent b="0" l="0" r="0" t="0"/>
                <wp:wrapNone/>
                <wp:docPr id="2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-2120899</wp:posOffset>
                </wp:positionH>
                <wp:positionV relativeFrom="paragraph">
                  <wp:posOffset>660400</wp:posOffset>
                </wp:positionV>
                <wp:extent cx="732790" cy="34988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984368" y="3609820"/>
                          <a:ext cx="72326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152/ب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-2120899</wp:posOffset>
                </wp:positionH>
                <wp:positionV relativeFrom="paragraph">
                  <wp:posOffset>660400</wp:posOffset>
                </wp:positionV>
                <wp:extent cx="732790" cy="349885"/>
                <wp:effectExtent b="0" l="0" r="0" t="0"/>
                <wp:wrapNone/>
                <wp:docPr id="1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790" cy="349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أردف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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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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يؤخره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شرفه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المقصود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بالذات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مذكور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بالعرض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-495299</wp:posOffset>
                </wp:positionV>
                <wp:extent cx="1238250" cy="4000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(26، 27)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-495299</wp:posOffset>
                </wp:positionV>
                <wp:extent cx="1238250" cy="400050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الشهادة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يفتن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نعوذ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الأخدود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وأنبياء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إسرائيل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بمناشير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الحديـد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ولـم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يصرفهـم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ذلـك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عـن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دينهـم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وكذلـك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فـي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الآخـرة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جاءهـم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انا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وسألوهم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ثبتوا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تموتون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تعيشون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روى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«</w:t>
      </w:r>
      <w:r w:rsidDel="00000000" w:rsidR="00000000" w:rsidRPr="00000000">
        <w:rPr>
          <w:b w:val="1"/>
          <w:vertAlign w:val="baseline"/>
          <w:rtl w:val="1"/>
        </w:rPr>
        <w:t xml:space="preserve">إن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المؤمن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إذا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سئل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ربه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وعن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دينه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وعن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نبيه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وأجاب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نادى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مناد</w:t>
      </w:r>
      <w:r w:rsidDel="00000000" w:rsidR="00000000" w:rsidRPr="00000000">
        <w:rPr>
          <w:b w:val="1"/>
          <w:vertAlign w:val="baseline"/>
          <w:rtl w:val="1"/>
        </w:rPr>
        <w:t xml:space="preserve">ٍ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السماء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صدق</w:t>
      </w:r>
      <w:r w:rsidDel="00000000" w:rsidR="00000000" w:rsidRPr="00000000">
        <w:rPr>
          <w:b w:val="1"/>
          <w:vertAlign w:val="superscript"/>
          <w:rtl w:val="0"/>
        </w:rPr>
        <w:t xml:space="preserve">(</w:t>
      </w:r>
      <w:r w:rsidDel="00000000" w:rsidR="00000000" w:rsidRPr="00000000">
        <w:rPr>
          <w:b w:val="1"/>
          <w:vertAlign w:val="superscript"/>
        </w:rPr>
        <w:footnoteReference w:customMarkFollows="0" w:id="34"/>
      </w:r>
      <w:r w:rsidDel="00000000" w:rsidR="00000000" w:rsidRPr="00000000">
        <w:rPr>
          <w:b w:val="1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عبدي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فذلك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قوله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تعالى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vertAlign w:val="baseline"/>
          <w:rtl w:val="0"/>
        </w:rPr>
        <w:t xml:space="preserve">"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يستدلوا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الآفاق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وحدانيته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ويشبه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وعـن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فيقـول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تليت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ويضرب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فيصيح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صيحة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يسمعها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الثقلين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سمعوها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لصعقوا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هيبتها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-2451099</wp:posOffset>
                </wp:positionV>
                <wp:extent cx="996950" cy="40005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-2451099</wp:posOffset>
                </wp:positionV>
                <wp:extent cx="996950" cy="400050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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الإسعاد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والإشقاء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-1384299</wp:posOffset>
                </wp:positionH>
                <wp:positionV relativeFrom="paragraph">
                  <wp:posOffset>-1333499</wp:posOffset>
                </wp:positionV>
                <wp:extent cx="1238250" cy="40005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(27، 28)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-1384299</wp:posOffset>
                </wp:positionH>
                <wp:positionV relativeFrom="paragraph">
                  <wp:posOffset>-1333499</wp:posOffset>
                </wp:positionV>
                <wp:extent cx="1238250" cy="400050"/>
                <wp:effectExtent b="0" l="0" r="0" t="0"/>
                <wp:wrapNone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 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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ْ: </w:t>
      </w:r>
      <w:r w:rsidDel="00000000" w:rsidR="00000000" w:rsidRPr="00000000">
        <w:rPr>
          <w:vertAlign w:val="baseline"/>
          <w:rtl w:val="1"/>
        </w:rPr>
        <w:t xml:space="preserve">شكر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نعمة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واجبا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بنقيضه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لوه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كفرا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مشركي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بمحمد</w:t>
      </w:r>
      <w:r w:rsidDel="00000000" w:rsidR="00000000" w:rsidRPr="00000000">
        <w:rPr>
          <w:vertAlign w:val="baseline"/>
          <w:rtl w:val="1"/>
        </w:rPr>
        <w:t xml:space="preserve"> --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يقبلوا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نعمته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وآثروا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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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شايعوهم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الهلاك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« </w:t>
      </w:r>
      <w:r w:rsidDel="00000000" w:rsidR="00000000" w:rsidRPr="00000000">
        <w:rPr>
          <w:b w:val="1"/>
          <w:vertAlign w:val="baseline"/>
          <w:rtl w:val="1"/>
        </w:rPr>
        <w:t xml:space="preserve">نعوذ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بالله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بوار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ي</w:t>
      </w:r>
      <w:r w:rsidDel="00000000" w:rsidR="00000000" w:rsidRPr="00000000">
        <w:rPr>
          <w:b w:val="1"/>
          <w:vertAlign w:val="baseline"/>
          <w:rtl w:val="1"/>
        </w:rPr>
        <w:t xml:space="preserve">ِّ</w:t>
      </w:r>
      <w:r w:rsidDel="00000000" w:rsidR="00000000" w:rsidRPr="00000000">
        <w:rPr>
          <w:b w:val="1"/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المرأة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زوج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يرغب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-1308099</wp:posOffset>
                </wp:positionV>
                <wp:extent cx="996950" cy="4000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-1308099</wp:posOffset>
                </wp:positionV>
                <wp:extent cx="996950" cy="400050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والمضارعية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ْ: </w:t>
      </w:r>
      <w:r w:rsidDel="00000000" w:rsidR="00000000" w:rsidRPr="00000000">
        <w:rPr>
          <w:vertAlign w:val="baseline"/>
          <w:rtl w:val="1"/>
        </w:rPr>
        <w:t xml:space="preserve">داخلين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مقاسين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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بئس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جهنم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جعلها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مبالغة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-1511299</wp:posOffset>
                </wp:positionH>
                <wp:positionV relativeFrom="paragraph">
                  <wp:posOffset>-558799</wp:posOffset>
                </wp:positionV>
                <wp:extent cx="996950" cy="4000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-1511299</wp:posOffset>
                </wp:positionH>
                <wp:positionV relativeFrom="paragraph">
                  <wp:posOffset>-558799</wp:posOffset>
                </wp:positionV>
                <wp:extent cx="996950" cy="400050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وعلي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الأفجران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المغيرة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وبنو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المغيرة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كفيتموهم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فمتعوا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حين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متنصرة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وأصحابه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-901699</wp:posOffset>
                </wp:positionV>
                <wp:extent cx="996950" cy="40005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-901699</wp:posOffset>
                </wp:positionV>
                <wp:extent cx="996950" cy="400050"/>
                <wp:effectExtent b="0" l="0" r="0" t="0"/>
                <wp:wrapNone/>
                <wp:docPr id="2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 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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التوحيد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، [</w:t>
      </w:r>
      <w:r w:rsidDel="00000000" w:rsidR="00000000" w:rsidRPr="00000000">
        <w:rPr>
          <w:vertAlign w:val="baseline"/>
          <w:rtl w:val="1"/>
        </w:rPr>
        <w:t xml:space="preserve">والأنداد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ند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بالكسر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المضاد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والكوفيون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بضم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الإضلال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المختار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كاف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الاستحقاق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والضلال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والإضلال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غرضين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مجازا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-1574799</wp:posOffset>
                </wp:positionH>
                <wp:positionV relativeFrom="paragraph">
                  <wp:posOffset>-520699</wp:posOffset>
                </wp:positionV>
                <wp:extent cx="996950" cy="4000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(30)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-1574799</wp:posOffset>
                </wp:positionH>
                <wp:positionV relativeFrom="paragraph">
                  <wp:posOffset>-520699</wp:posOffset>
                </wp:positionV>
                <wp:extent cx="996950" cy="400050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بالشهوات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تهديد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الإتيان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إيذان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الشهوات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مأمورون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آمر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لازم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إطاعت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ـه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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فاستوفوا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فواته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-495299</wp:posOffset>
                </wp:positionV>
                <wp:extent cx="1238250" cy="4000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(30، 31)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-495299</wp:posOffset>
                </wp:positionV>
                <wp:extent cx="1238250" cy="400050"/>
                <wp:effectExtent b="0" l="0" r="0" t="0"/>
                <wp:wrapNone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</w:t>
      </w:r>
      <w:r w:rsidDel="00000000" w:rsidR="00000000" w:rsidRPr="00000000">
        <w:rPr>
          <w:vertAlign w:val="baseline"/>
          <w:rtl w:val="1"/>
        </w:rPr>
        <w:t xml:space="preserve">أضافهم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تشريفـا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لهـم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يتلذذون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بالشهوات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يستلذون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بعبادته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ومفعول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محذوف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جوابه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تقديره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أقيموا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وأنفقوا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يقيموا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وينفقوا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محذوفا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لدلالة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أقيموا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يقيموا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يستقيم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والجزاء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متحدان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والفاعل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للمواجهة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سر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علنين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وعلانية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وعلانية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السر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جوف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أطلق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والمراد</w:t>
      </w:r>
      <w:r w:rsidDel="00000000" w:rsidR="00000000" w:rsidRPr="00000000">
        <w:rPr>
          <w:vertAlign w:val="baseline"/>
          <w:rtl w:val="1"/>
        </w:rPr>
        <w:t xml:space="preserve">ُ: </w:t>
      </w:r>
      <w:r w:rsidDel="00000000" w:rsidR="00000000" w:rsidRPr="00000000">
        <w:rPr>
          <w:vertAlign w:val="baseline"/>
          <w:rtl w:val="1"/>
        </w:rPr>
        <w:t xml:space="preserve">الحث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التطوع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الإخفاء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الرياء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الإعلان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ليقتدى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-1917699</wp:posOffset>
                </wp:positionV>
                <wp:extent cx="996950" cy="40005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(31)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-1917699</wp:posOffset>
                </wp:positionV>
                <wp:extent cx="996950" cy="400050"/>
                <wp:effectExtent b="0" l="0" r="0" t="0"/>
                <wp:wrapNone/>
                <wp:docPr id="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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تدارك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فاتكم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بمساعدة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وكلاهما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منتف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اليوم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بتصوير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المستمران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الانتفاع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الانتفاع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بمقابلهما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أنفق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وأبوعمرو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بالفتح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الاستغراق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-1473199</wp:posOffset>
                </wp:positionH>
                <wp:positionV relativeFrom="paragraph">
                  <wp:posOffset>-1612899</wp:posOffset>
                </wp:positionV>
                <wp:extent cx="1238250" cy="40005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(31، 32)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-1473199</wp:posOffset>
                </wp:positionH>
                <wp:positionV relativeFrom="paragraph">
                  <wp:posOffset>-1612899</wp:posOffset>
                </wp:positionV>
                <wp:extent cx="1238250" cy="400050"/>
                <wp:effectExtent b="0" l="0" r="0" t="0"/>
                <wp:wrapNone/>
                <wp:docPr id="1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وخبر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بي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نبذا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السعداء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والأشقياء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ورغ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وره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التوحيد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بأظهرها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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/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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مفعول</w:t>
      </w:r>
      <w:r w:rsidDel="00000000" w:rsidR="00000000" w:rsidRPr="00000000">
        <w:rPr>
          <w:vertAlign w:val="baseline"/>
          <w:rtl w:val="1"/>
        </w:rPr>
        <w:t xml:space="preserve"> "</w:t>
      </w:r>
      <w:r w:rsidDel="00000000" w:rsidR="00000000" w:rsidRPr="00000000">
        <w:rPr>
          <w:vertAlign w:val="baseline"/>
          <w:rtl w:val="1"/>
        </w:rPr>
        <w:t xml:space="preserve">أخرج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يشمل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والجار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والمجرور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التبعيضية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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baseline"/>
          <w:rtl w:val="1"/>
        </w:rPr>
        <w:t xml:space="preserve"> "</w:t>
      </w:r>
      <w:r w:rsidDel="00000000" w:rsidR="00000000" w:rsidRPr="00000000">
        <w:rPr>
          <w:vertAlign w:val="baseline"/>
          <w:rtl w:val="1"/>
        </w:rPr>
        <w:t xml:space="preserve">أخرج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رزق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بإرادته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قصدتم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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تتصرفون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تسخيرها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كيفية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الانتفاع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-2451099</wp:posOffset>
                </wp:positionV>
                <wp:extent cx="996950" cy="4000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(33)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-2451099</wp:posOffset>
                </wp:positionV>
                <wp:extent cx="996950" cy="40005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-2222499</wp:posOffset>
                </wp:positionH>
                <wp:positionV relativeFrom="paragraph">
                  <wp:posOffset>-1409699</wp:posOffset>
                </wp:positionV>
                <wp:extent cx="764540" cy="32893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68493" y="3620298"/>
                          <a:ext cx="75501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153/أ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-2222499</wp:posOffset>
                </wp:positionH>
                <wp:positionV relativeFrom="paragraph">
                  <wp:posOffset>-1409699</wp:posOffset>
                </wp:positionV>
                <wp:extent cx="764540" cy="32893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540" cy="328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مستمرين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دأب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عظيمة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تحصى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وإصلاح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الأبدان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والثمار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يتصور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الحيوان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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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للكسب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والاستراحة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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سألتموه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حص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يطلبه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السؤال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أتاكم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احتجتم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تعيشكم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موصولة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موصوفة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المفعول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نافية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آتاكم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سائليه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حسن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-1269999</wp:posOffset>
                </wp:positionV>
                <wp:extent cx="1238250" cy="4000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(33، 34)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-1269999</wp:posOffset>
                </wp:positionV>
                <wp:extent cx="1238250" cy="40005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الإحصاء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العد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والحفظ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أحصيت</w:t>
      </w:r>
      <w:r w:rsidDel="00000000" w:rsidR="00000000" w:rsidRPr="00000000">
        <w:rPr>
          <w:vertAlign w:val="baseline"/>
          <w:rtl w:val="1"/>
        </w:rPr>
        <w:t xml:space="preserve">؟"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حفظت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الإحصاء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شكرها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الحمد</w:t>
      </w:r>
      <w:r w:rsidDel="00000000" w:rsidR="00000000" w:rsidRPr="00000000">
        <w:rPr>
          <w:vertAlign w:val="baseline"/>
          <w:rtl w:val="1"/>
        </w:rPr>
        <w:t xml:space="preserve">: «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أحصي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ثناء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عليك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كما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أثنيت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نفسك</w:t>
      </w:r>
      <w:r w:rsidDel="00000000" w:rsidR="00000000" w:rsidRPr="00000000">
        <w:rPr>
          <w:vertAlign w:val="baseline"/>
          <w:rtl w:val="0"/>
        </w:rPr>
        <w:t xml:space="preserve"> »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[</w:t>
      </w:r>
      <w:r w:rsidDel="00000000" w:rsidR="00000000" w:rsidRPr="00000000">
        <w:rPr>
          <w:vertAlign w:val="baseline"/>
          <w:rtl w:val="1"/>
        </w:rPr>
        <w:t xml:space="preserve">شعر</w:t>
      </w:r>
      <w:r w:rsidDel="00000000" w:rsidR="00000000" w:rsidRPr="00000000">
        <w:rPr>
          <w:vertAlign w:val="baseline"/>
          <w:rtl w:val="1"/>
        </w:rPr>
        <w:t xml:space="preserve">]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-1511299</wp:posOffset>
                </wp:positionH>
                <wp:positionV relativeFrom="paragraph">
                  <wp:posOffset>-546099</wp:posOffset>
                </wp:positionV>
                <wp:extent cx="996950" cy="4000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(34)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-1511299</wp:posOffset>
                </wp:positionH>
                <wp:positionV relativeFrom="paragraph">
                  <wp:posOffset>-546099</wp:posOffset>
                </wp:positionV>
                <wp:extent cx="996950" cy="40005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widowControl w:val="0"/>
        <w:bidi w:val="1"/>
        <w:ind w:left="0" w:right="0" w:hanging="2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نعمة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نعمة</w:t>
      </w:r>
      <w:r w:rsidDel="00000000" w:rsidR="00000000" w:rsidRPr="00000000">
        <w:rPr>
          <w:vertAlign w:val="baseline"/>
          <w:rtl w:val="1"/>
        </w:rPr>
        <w:t xml:space="preserve">ً</w:t>
        <w:tab/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السبيل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الشكر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bidi w:val="1"/>
        <w:ind w:left="0" w:right="0" w:firstLine="720"/>
        <w:contextualSpacing w:val="0"/>
        <w:jc w:val="both"/>
        <w:rPr>
          <w:vertAlign w:val="superscript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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 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ظلوم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الشكر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بإغفال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الشكر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ظلوم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يشكو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ويجزع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ويمنع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الجنس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: 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superscript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superscript"/>
        </w:rPr>
        <w:footnoteReference w:customMarkFollows="0" w:id="107"/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superscript"/>
          <w:rtl w:val="0"/>
        </w:rPr>
        <w:t xml:space="preserve">)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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زاده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وشرفا</w:t>
      </w:r>
      <w:r w:rsidDel="00000000" w:rsidR="00000000" w:rsidRPr="00000000">
        <w:rPr>
          <w:vertAlign w:val="baseline"/>
          <w:rtl w:val="1"/>
        </w:rPr>
        <w:t xml:space="preserve">ً-، </w:t>
      </w:r>
      <w:r w:rsidDel="00000000" w:rsidR="00000000" w:rsidRPr="00000000">
        <w:rPr>
          <w:vertAlign w:val="baseline"/>
          <w:rtl w:val="1"/>
        </w:rPr>
        <w:t xml:space="preserve">أشار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بالفعل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ونك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الكائن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آمنا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بالعكس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-876299</wp:posOffset>
                </wp:positionV>
                <wp:extent cx="1238250" cy="400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(34، 35)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-876299</wp:posOffset>
                </wp:positionV>
                <wp:extent cx="1238250" cy="400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يلزم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دعوته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مستجابة</w:t>
      </w:r>
      <w:r w:rsidDel="00000000" w:rsidR="00000000" w:rsidRPr="00000000">
        <w:rPr>
          <w:vertAlign w:val="baseline"/>
          <w:rtl w:val="1"/>
        </w:rPr>
        <w:t xml:space="preserve">؟.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-1562099</wp:posOffset>
                </wp:positionH>
                <wp:positionV relativeFrom="paragraph">
                  <wp:posOffset>-533399</wp:posOffset>
                </wp:positionV>
                <wp:extent cx="996950" cy="4000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(35)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-1562099</wp:posOffset>
                </wp:positionH>
                <wp:positionV relativeFrom="paragraph">
                  <wp:posOffset>-533399</wp:posOffset>
                </wp:positionV>
                <wp:extent cx="996950" cy="400050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سأل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يجعله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صالحا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للسكنى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الاستمرار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وثانيا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إزالة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الآمنة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أحيانا</w:t>
      </w:r>
      <w:r w:rsidDel="00000000" w:rsidR="00000000" w:rsidRPr="00000000">
        <w:rPr>
          <w:vertAlign w:val="baseline"/>
          <w:rtl w:val="1"/>
        </w:rPr>
        <w:t xml:space="preserve">ً،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سأل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وثانيا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تذكيرا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الناظرين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ودعوة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التوحيد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آباءهم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وزجرا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عون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ملته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D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بعدني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وإياهم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جنب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وأجنب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بالتشديد</w:t>
      </w:r>
      <w:r w:rsidDel="00000000" w:rsidR="00000000" w:rsidRPr="00000000">
        <w:rPr>
          <w:vertAlign w:val="baseline"/>
          <w:rtl w:val="1"/>
        </w:rPr>
        <w:t xml:space="preserve">-</w:t>
      </w:r>
    </w:p>
    <w:sectPr>
      <w:headerReference r:id="rId28" w:type="default"/>
      <w:footerReference r:id="rId29" w:type="default"/>
      <w:footerReference r:id="rId30" w:type="even"/>
      <w:pgSz w:h="16838" w:w="11906"/>
      <w:pgMar w:bottom="1701" w:top="1985" w:left="1985" w:right="1985" w:header="1134" w:footer="851"/>
      <w:pgNumType w:start="1042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HQPB3"/>
  <w:font w:name="HQPB4"/>
  <w:font w:name="HQPB5"/>
  <w:font w:name="AGA Arabesque"/>
  <w:font w:name="HQPB1"/>
  <w:font w:name="HQPB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50"/>
        <w:szCs w:val="50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12"/>
        <w:szCs w:val="112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(19/92).</w:t>
      </w:r>
    </w:p>
  </w:footnote>
  <w:footnote w:id="1"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"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"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(1/518).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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بمضمر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4"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(3/334-335).</w:t>
      </w:r>
    </w:p>
  </w:footnote>
  <w:footnote w:id="5"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كشجرة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6"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(16/567)،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(4/347)،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(1/518).</w:t>
      </w:r>
    </w:p>
  </w:footnote>
  <w:footnote w:id="7"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8"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(1/518):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فروعها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أفنانها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الاكتفاء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لاكتسابه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الاستغراق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الاستغراقي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فتناوله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الاستغراق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(5/463).</w:t>
      </w:r>
    </w:p>
  </w:footnote>
  <w:footnote w:id="9"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بسكونها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(190)،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(2/216).</w:t>
      </w:r>
    </w:p>
  </w:footnote>
  <w:footnote w:id="10"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(1/518).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(3/161)،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تحدثت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إخراج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(16/575)،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(1/230)،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(4/347)،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(5/411).</w:t>
      </w:r>
    </w:p>
  </w:footnote>
  <w:footnote w:id="11"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2"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"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(19/95).</w:t>
      </w:r>
    </w:p>
  </w:footnote>
  <w:footnote w:id="14"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(16/586)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(1/340)،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(3/161)،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5"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جثث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(2/126):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(3/161)،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(1/425).</w:t>
      </w:r>
    </w:p>
  </w:footnote>
  <w:footnote w:id="16"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تتجعف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بتخفيف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فانجعف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(1/460)،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(9/27).</w:t>
      </w:r>
    </w:p>
  </w:footnote>
  <w:footnote w:id="17"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(3/377).</w:t>
      </w:r>
    </w:p>
  </w:footnote>
  <w:footnote w:id="18"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9"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(16/567)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ونسبه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(1/229)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(5/410).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(2/241).</w:t>
      </w:r>
    </w:p>
  </w:footnote>
  <w:footnote w:id="20"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فينطبق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مكررة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1"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(3/378).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(5/411).</w:t>
      </w:r>
    </w:p>
  </w:footnote>
  <w:footnote w:id="22"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(16/569-570)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موقوفا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ومرفوعا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والمرفوع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(6/371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11262)،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(8/279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3118)،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(2/352)،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ورجح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الموقوف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المرفوع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وعكرمه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(16/570-571)،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(16/572)،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ونسبه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(5/410)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3"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Íh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ÇËÍÈ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(5/220)،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النخلـة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(4/2166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64)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ولفظه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  <w:br w:type="textWrapping"/>
        <w:t xml:space="preserve">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أخبروني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كالرجل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ورقها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تؤتي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النخلة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ورأيت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يتكلمان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فكرهت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النخلة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قمنا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أبتاه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النخلة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منعك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فكرهت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4"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وأعظمه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(1/518)،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(5/411)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5"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عبدالرزاق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(2/2/342)،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(16/583-584)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ونسبه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(5/411)،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6"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الحنظلة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(2/469)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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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ولفظه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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الحنظل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للخطابي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(2/513).</w:t>
      </w:r>
    </w:p>
  </w:footnote>
  <w:footnote w:id="27"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(16/589)،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(1/236)،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(4/349)،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(4/361).</w:t>
      </w:r>
    </w:p>
  </w:footnote>
  <w:footnote w:id="28"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الأخدود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الأخاديد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(2/13)،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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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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خبرهم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صهيب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الأخدود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والساحر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والراهب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والغلام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(4/2299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73).</w:t>
      </w:r>
    </w:p>
  </w:footnote>
  <w:footnote w:id="29"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متوسد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تدعو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ليمشط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بمشاط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عظامه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لحم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عصب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ويوضع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المنشار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مفرق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رأسه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فيشق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باثنين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وليتمن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الراكب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صنعاء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حضرموت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وأصحابه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(4/238).</w:t>
      </w:r>
    </w:p>
  </w:footnote>
  <w:footnote w:id="30"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1"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معترضة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2"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3"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4"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5"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6"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(5/220)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7"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8"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ثعلب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اتبعت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بالياء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لمواخاة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السكيت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الأصمعي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ائتليت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همزتين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افتعلت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استطعت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(3/239)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باختصار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وتصرف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9"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0"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الجنائز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(2/102)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سابقا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فيقولان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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Å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=»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â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ÇËÐÈ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".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(16/603)،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(16/602)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(1/237)،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(9/363).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يشمل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ظلمهم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يضلهم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وفاقا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بظلام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1"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(3/337).</w:t>
      </w:r>
    </w:p>
  </w:footnote>
  <w:footnote w:id="42"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النعمة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لبوها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فبقوا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مسلوبي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النعمة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موصوفين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حاصلا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النعمة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(5/413)،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(7/101-102).</w:t>
      </w:r>
    </w:p>
  </w:footnote>
  <w:footnote w:id="43"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عبدالرزاق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(2/2/343)،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(6/372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11267، 11268)،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(13/146)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(1/237)،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(4/426).</w:t>
      </w:r>
    </w:p>
  </w:footnote>
  <w:footnote w:id="44"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(3/381).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عبداللطيف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نعمة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المقصودة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النجدية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(3/79).</w:t>
      </w:r>
    </w:p>
  </w:footnote>
  <w:footnote w:id="45"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(15/266)،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(4/86).</w:t>
      </w:r>
    </w:p>
  </w:footnote>
  <w:footnote w:id="46"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(12/450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6932)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حدثنا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البزاز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حدثنا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حدثنا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الوليد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حدثنا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حدثنا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أعوذ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».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7"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8"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(1/161)،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(4/86).</w:t>
      </w:r>
    </w:p>
  </w:footnote>
  <w:footnote w:id="49"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الكساد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وبارت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وبارت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كسدت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نعوذ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كسادها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يخطبها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كسدت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..."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الكساد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الهلاك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والفساد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الراغب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(152):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الكساد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الكساد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الفساد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بالبوار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الهلاك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(1/242).</w:t>
      </w:r>
    </w:p>
  </w:footnote>
  <w:footnote w:id="50"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(1/519).</w:t>
      </w:r>
    </w:p>
  </w:footnote>
  <w:footnote w:id="51"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(2/183)،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(2/58).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(5/413)،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(7/102).</w:t>
      </w:r>
    </w:p>
  </w:footnote>
  <w:footnote w:id="52"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(1/519).</w:t>
      </w:r>
    </w:p>
  </w:footnote>
  <w:footnote w:id="53"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(19/97)،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54"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استبدلته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وسأرمز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بالحرف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55"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مخزوم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ومخزوم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بطن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لؤي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الوليد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وأبوجهل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جماعات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كخالد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الوليد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(2/283)،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(371).</w:t>
      </w:r>
    </w:p>
  </w:footnote>
  <w:footnote w:id="56"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بطن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البطن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خلفائها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(85).</w:t>
      </w:r>
    </w:p>
  </w:footnote>
  <w:footnote w:id="57"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كفيتموهم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8"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(13/146)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(5/41).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يرتضوه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عاشور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أحسبه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المغرضين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المضادين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(1049)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أسلموا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(13/229).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بصحة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يتناولان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وولديه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إسلامهم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بالطرق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القطعية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بلاؤهم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9"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(13/148)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تغليب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(3/337).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(13/316)،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(13/230).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أبوالمنذر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نصارى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(2/112).</w:t>
      </w:r>
    </w:p>
  </w:footnote>
  <w:footnote w:id="60"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1"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2"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3"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يضاد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أموره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يخالفه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(5/35).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(3/420).</w:t>
      </w:r>
    </w:p>
  </w:footnote>
  <w:footnote w:id="64"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ضلوا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(267)،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(2/711).</w:t>
      </w:r>
    </w:p>
  </w:footnote>
  <w:footnote w:id="65"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والإضلال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6"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(581).</w:t>
      </w:r>
    </w:p>
  </w:footnote>
  <w:footnote w:id="67"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(8).</w:t>
      </w:r>
    </w:p>
  </w:footnote>
  <w:footnote w:id="68"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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والصيرورة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(19/98):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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الأوثان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اتخذوا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الوثن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بالنصب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يريدوا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(1/499):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أندادا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للضلال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عاقبتهم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باتخاذهم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اتخذوها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للضلال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أندادا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(7/103).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(3/338).</w:t>
      </w:r>
    </w:p>
  </w:footnote>
  <w:footnote w:id="69"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0"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(1/519).</w:t>
      </w:r>
    </w:p>
  </w:footnote>
  <w:footnote w:id="71"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72"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وتقديره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  <w:br w:type="textWrapping"/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أقيموا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وأنفقوا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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(3/381).</w:t>
      </w:r>
    </w:p>
  </w:footnote>
  <w:footnote w:id="73"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(5/414)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74"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محذوفة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5"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فمعمول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ليقيموا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(2/184)،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(1/451).</w:t>
      </w:r>
    </w:p>
  </w:footnote>
  <w:footnote w:id="76"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المقتضب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(2/84).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(5/415):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فيقيموا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أقيموا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(2/59).</w:t>
      </w:r>
    </w:p>
  </w:footnote>
  <w:footnote w:id="77"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ويشترط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مخالفا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كقولك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يقيموا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يقيموا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(2/770).</w:t>
      </w:r>
    </w:p>
  </w:footnote>
  <w:footnote w:id="78"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(5/415)،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(7/105).</w:t>
      </w:r>
    </w:p>
  </w:footnote>
  <w:footnote w:id="79"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ومعلنين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0"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انتصب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الظرف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(7/107).</w:t>
      </w:r>
    </w:p>
  </w:footnote>
  <w:footnote w:id="81"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(2/359)،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(4/357)،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(2/191).</w:t>
      </w:r>
    </w:p>
  </w:footnote>
  <w:footnote w:id="82"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(9/366)،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(1/519).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النفقة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واجبة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تطوعا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تدعو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إعلانها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التهمة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اقتداء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الآخرين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فيستحب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إعلانها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حينئذ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3"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(63/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84"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(187)،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الإقناع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(2/610).</w:t>
      </w:r>
    </w:p>
  </w:footnote>
  <w:footnote w:id="85"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(2/711)،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(1/519).</w:t>
      </w:r>
    </w:p>
  </w:footnote>
  <w:footnote w:id="86"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(5/416).</w:t>
      </w:r>
    </w:p>
  </w:footnote>
  <w:footnote w:id="87"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(19/99).</w:t>
      </w:r>
    </w:p>
  </w:footnote>
  <w:footnote w:id="88"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9"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0"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(1/519).</w:t>
      </w:r>
    </w:p>
  </w:footnote>
  <w:footnote w:id="91"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تسخير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والأنهار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الخفاجي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(5/471).</w:t>
      </w:r>
    </w:p>
  </w:footnote>
  <w:footnote w:id="92"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3"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تغليب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الصيغة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التذكير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مؤنثة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التذكير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(1/451).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(220).</w:t>
      </w:r>
    </w:p>
  </w:footnote>
  <w:footnote w:id="94"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(3/382).</w:t>
      </w:r>
    </w:p>
  </w:footnote>
  <w:footnote w:id="95"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6"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7"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(1/520).</w:t>
      </w:r>
    </w:p>
  </w:footnote>
  <w:footnote w:id="98"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(7/109).</w:t>
      </w:r>
    </w:p>
  </w:footnote>
  <w:footnote w:id="99"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يذكرون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التنوين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المحتسب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(4/365)،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(5/416)،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(5/472).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00"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(14/184).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تحفظوها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أبوالعالية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تطيقون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(3/33).</w:t>
      </w:r>
    </w:p>
  </w:footnote>
  <w:footnote w:id="101"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المسافرين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ترتيل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واجتناب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(1/563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275)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نهيك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تجده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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أحصيت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2"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(1/397).</w:t>
      </w:r>
    </w:p>
  </w:footnote>
  <w:footnote w:id="103"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الركوع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(1/352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222)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عائشة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</w:t>
      </w:r>
    </w:p>
  </w:footnote>
  <w:footnote w:id="104"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للشاعر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ديوانه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(121).</w:t>
      </w:r>
    </w:p>
  </w:footnote>
  <w:footnote w:id="105"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(5/417)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106"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(4/164)،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07"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انتهت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8"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(13).</w:t>
      </w:r>
    </w:p>
  </w:footnote>
  <w:footnote w:id="109"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(1/520).</w:t>
      </w:r>
    </w:p>
  </w:footnote>
  <w:footnote w:id="110"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باعتبار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(1/554).</w:t>
      </w:r>
    </w:p>
  </w:footnote>
  <w:footnote w:id="111"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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(126).</w:t>
      </w:r>
    </w:p>
  </w:footnote>
  <w:footnote w:id="112"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وبنائه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(587)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الراغب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الأصفهاني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(63/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والبقاعي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(10/424).</w:t>
      </w:r>
    </w:p>
  </w:footnote>
  <w:footnote w:id="113"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التلازم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وترتيب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التوجيهات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للآيتين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احتمالين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التنكير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آمنا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توطئة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باعتبار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(1/554).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ملاك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(1/234).</w:t>
      </w:r>
    </w:p>
  </w:footnote>
  <w:footnote w:id="114"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5"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أحيانا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6"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الاعتراض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والأجوبة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(63/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(13/337).</w:t>
      </w:r>
    </w:p>
  </w:footnote>
  <w:footnote w:id="117"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النافرين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8"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سورة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إبراهيم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bidi w:val="1"/>
      <w:ind w:left="0" w:right="0"/>
      <w:jc w:val="center"/>
    </w:pPr>
    <w:rPr>
      <w:b w:val="1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4.png"/><Relationship Id="rId22" Type="http://schemas.openxmlformats.org/officeDocument/2006/relationships/image" Target="media/image4.png"/><Relationship Id="rId21" Type="http://schemas.openxmlformats.org/officeDocument/2006/relationships/image" Target="media/image38.png"/><Relationship Id="rId24" Type="http://schemas.openxmlformats.org/officeDocument/2006/relationships/image" Target="media/image8.png"/><Relationship Id="rId23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0.png"/><Relationship Id="rId26" Type="http://schemas.openxmlformats.org/officeDocument/2006/relationships/image" Target="media/image2.png"/><Relationship Id="rId25" Type="http://schemas.openxmlformats.org/officeDocument/2006/relationships/image" Target="media/image10.png"/><Relationship Id="rId28" Type="http://schemas.openxmlformats.org/officeDocument/2006/relationships/header" Target="header1.xml"/><Relationship Id="rId27" Type="http://schemas.openxmlformats.org/officeDocument/2006/relationships/image" Target="media/image1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footer" Target="footer1.xml"/><Relationship Id="rId7" Type="http://schemas.openxmlformats.org/officeDocument/2006/relationships/image" Target="media/image30.png"/><Relationship Id="rId8" Type="http://schemas.openxmlformats.org/officeDocument/2006/relationships/image" Target="media/image26.png"/><Relationship Id="rId30" Type="http://schemas.openxmlformats.org/officeDocument/2006/relationships/footer" Target="footer2.xml"/><Relationship Id="rId11" Type="http://schemas.openxmlformats.org/officeDocument/2006/relationships/image" Target="media/image20.png"/><Relationship Id="rId10" Type="http://schemas.openxmlformats.org/officeDocument/2006/relationships/image" Target="media/image36.png"/><Relationship Id="rId13" Type="http://schemas.openxmlformats.org/officeDocument/2006/relationships/image" Target="media/image24.png"/><Relationship Id="rId12" Type="http://schemas.openxmlformats.org/officeDocument/2006/relationships/image" Target="media/image18.png"/><Relationship Id="rId15" Type="http://schemas.openxmlformats.org/officeDocument/2006/relationships/image" Target="media/image16.png"/><Relationship Id="rId14" Type="http://schemas.openxmlformats.org/officeDocument/2006/relationships/image" Target="media/image22.png"/><Relationship Id="rId17" Type="http://schemas.openxmlformats.org/officeDocument/2006/relationships/image" Target="media/image42.png"/><Relationship Id="rId16" Type="http://schemas.openxmlformats.org/officeDocument/2006/relationships/image" Target="media/image14.png"/><Relationship Id="rId19" Type="http://schemas.openxmlformats.org/officeDocument/2006/relationships/image" Target="media/image32.png"/><Relationship Id="rId18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