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فالأولان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والثالثة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عبادتها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واسطة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للأصنام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عيينة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الأصنام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صلبه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-914399</wp:posOffset>
                </wp:positionV>
                <wp:extent cx="1317625" cy="3651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(35، 36)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-914399</wp:posOffset>
                </wp:positionV>
                <wp:extent cx="1317625" cy="36512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السببية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متصل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غشنا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فليس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منا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أفعالهم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بالتوبة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وتوفيق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ذريتي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بالحرم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وذريته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لإسكانهم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بناء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والتهاون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حرما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يعضد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شجره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الطوفان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ممنعا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يجتنب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فوهبت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هاجر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يرزقه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الغيرة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رؤيتهما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فناشدت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يسكنهما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وحملهما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زمزم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هاجر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وتدعنا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آلله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أمرك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فاذهب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يضيعنا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-1257299</wp:posOffset>
                </wp:positionV>
                <wp:extent cx="809625" cy="3651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-1257299</wp:posOffset>
                </wp:positionV>
                <wp:extent cx="809625" cy="365125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مؤخر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أسكنتهم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إيثارا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بأنواع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العبادة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إقامة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والطواف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والعكوف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تبعيضيه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ابتدائية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أفئدة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هشام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vertAlign w:val="baseline"/>
          <w:rtl w:val="1"/>
        </w:rPr>
        <w:t xml:space="preserve">أفئيدة</w:t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الشديدتين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-2158999</wp:posOffset>
                </wp:positionH>
                <wp:positionV relativeFrom="paragraph">
                  <wp:posOffset>825500</wp:posOffset>
                </wp:positionV>
                <wp:extent cx="721995" cy="33909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89765" y="3615218"/>
                          <a:ext cx="71247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153/ب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-2158999</wp:posOffset>
                </wp:positionH>
                <wp:positionV relativeFrom="paragraph">
                  <wp:posOffset>825500</wp:posOffset>
                </wp:positionV>
                <wp:extent cx="721995" cy="33909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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تسرع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البراق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انطلق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يهوي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يسرع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الهبوط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الصعود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-482599</wp:posOffset>
                </wp:positionV>
                <wp:extent cx="1317625" cy="3651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(37، 38)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-482599</wp:posOffset>
                </wp:positionV>
                <wp:extent cx="1317625" cy="365125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واديا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آمنا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يجبى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والخريفية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الأرياف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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أدعى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احتجاب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لظاهره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السؤال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إظهار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العبودية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والتلذذ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بالتذلل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بالافتقار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نمرود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المنجنيق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وألقاه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متوجها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b w:val="1"/>
          <w:vertAlign w:val="baseline"/>
          <w:rtl w:val="1"/>
        </w:rPr>
        <w:t xml:space="preserve">هل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حاجة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خليل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إليك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» 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ربك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 </w:t>
      </w:r>
      <w:r w:rsidDel="00000000" w:rsidR="00000000" w:rsidRPr="00000000">
        <w:rPr>
          <w:b w:val="1"/>
          <w:vertAlign w:val="baseline"/>
          <w:rtl w:val="1"/>
        </w:rPr>
        <w:t xml:space="preserve">علمه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بحالي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يغنيني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سؤالي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بالأشياء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السواء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-876299</wp:posOffset>
                </wp:positionV>
                <wp:extent cx="1317625" cy="3651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(38، 39)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-876299</wp:posOffset>
                </wp:positionV>
                <wp:extent cx="1317625" cy="3651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1"/>
        </w:rPr>
        <w:t xml:space="preserve">وأنا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المتعارف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وتسعين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وثنتي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وإسحاق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لتسعين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اعترافا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اليأس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Ïo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T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)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M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Z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3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&amp;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rFonts w:ascii="HQPB2" w:cs="HQPB2" w:eastAsia="HQPB2" w:hAnsi="HQPB2"/>
          <w:color w:val="000000"/>
          <w:sz w:val="36"/>
          <w:szCs w:val="36"/>
          <w:vertAlign w:val="superscript"/>
        </w:rPr>
        <w:footnoteReference w:customMarkFollows="0" w:id="42"/>
      </w:r>
      <w:r w:rsidDel="00000000" w:rsidR="00000000" w:rsidRPr="00000000">
        <w:rPr>
          <w:rFonts w:ascii="HQPB2" w:cs="HQPB2" w:eastAsia="HQPB2" w:hAnsi="HQPB2"/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L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Íh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&gt;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#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/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î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?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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؟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متفرقة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لاشتراكها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لذريته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أخاه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ورحيم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أباه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والاعتداد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المصلي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حمده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معدلا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مواظبا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</w:t>
      </w:r>
      <w:r w:rsidDel="00000000" w:rsidR="00000000" w:rsidRPr="00000000">
        <w:rPr>
          <w:vertAlign w:val="baseline"/>
          <w:rtl w:val="1"/>
        </w:rPr>
        <w:t xml:space="preserve">وبعض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ذريتي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-495299</wp:posOffset>
                </wp:positionV>
                <wp:extent cx="809625" cy="365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-495299</wp:posOffset>
                </wp:positionV>
                <wp:extent cx="809625" cy="3651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عبادتـي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لقولـه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دعائي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ودعاء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الأنبياء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قبلي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بعرفـات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إلـه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اللـه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هـو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سأخبركم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دعوة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إبراهيم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وبشارة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عيسى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أقرب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 </w:t>
      </w:r>
      <w:r w:rsidDel="00000000" w:rsidR="00000000" w:rsidRPr="00000000">
        <w:rPr>
          <w:vertAlign w:val="baseline"/>
          <w:rtl w:val="1"/>
        </w:rPr>
        <w:t xml:space="preserve">كافة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يثبت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ثبوته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قامت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ضوؤها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جل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وأسند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-1549399</wp:posOffset>
                </wp:positionH>
                <wp:positionV relativeFrom="paragraph">
                  <wp:posOffset>-863599</wp:posOffset>
                </wp:positionV>
                <wp:extent cx="1317625" cy="3651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(40، 41)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-1549399</wp:posOffset>
                </wp:positionH>
                <wp:positionV relativeFrom="paragraph">
                  <wp:posOffset>-863599</wp:posOffset>
                </wp:positionV>
                <wp:extent cx="1317625" cy="365125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تثبته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نظائره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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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خافية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وشمول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عيينة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للمظلوم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وتهديد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للظالم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-1612899</wp:posOffset>
                </wp:positionV>
                <wp:extent cx="1317625" cy="3651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(41، 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-1612899</wp:posOffset>
                </wp:positionV>
                <wp:extent cx="1317625" cy="3651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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وص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البصر</w:t>
      </w:r>
      <w:r w:rsidDel="00000000" w:rsidR="00000000" w:rsidRPr="00000000">
        <w:rPr>
          <w:vertAlign w:val="baseline"/>
          <w:rtl w:val="1"/>
        </w:rPr>
        <w:t xml:space="preserve">ِ: </w:t>
      </w:r>
      <w:r w:rsidDel="00000000" w:rsidR="00000000" w:rsidRPr="00000000">
        <w:rPr>
          <w:vertAlign w:val="baseline"/>
          <w:rtl w:val="1"/>
        </w:rPr>
        <w:t xml:space="preserve">ارتفاع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الأجفان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وانزعاجه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مرتفع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-876299</wp:posOffset>
                </wp:positionV>
                <wp:extent cx="1317625" cy="3651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(42، 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-876299</wp:posOffset>
                </wp:positionV>
                <wp:extent cx="1317625" cy="36512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مسرعين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الداعي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يقلعه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عنقه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رافعي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ركوعه</w:t>
      </w:r>
      <w:r w:rsidDel="00000000" w:rsidR="00000000" w:rsidRPr="00000000">
        <w:rPr>
          <w:vertAlign w:val="baseline"/>
          <w:rtl w:val="1"/>
        </w:rPr>
        <w:t xml:space="preserve"> : "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ركع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يرفعه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يديك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السؤال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السؤال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ارتداد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تجمد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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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والإدراك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والخطب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خالية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والهواء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-1257299</wp:posOffset>
                </wp:positionV>
                <wp:extent cx="809625" cy="3651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-1257299</wp:posOffset>
                </wp:positionV>
                <wp:extent cx="809625" cy="365125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-2095499</wp:posOffset>
                </wp:positionH>
                <wp:positionV relativeFrom="paragraph">
                  <wp:posOffset>-368299</wp:posOffset>
                </wp:positionV>
                <wp:extent cx="647700" cy="3390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6913" y="3615218"/>
                          <a:ext cx="6381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154/أ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-2095499</wp:posOffset>
                </wp:positionH>
                <wp:positionV relativeFrom="paragraph">
                  <wp:posOffset>-368299</wp:posOffset>
                </wp:positionV>
                <wp:extent cx="647700" cy="3390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فأنت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لأنذر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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بالشرك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وأمهلنا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أوامرهم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ونواهيهم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حضرتهم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المقصر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4" w:type="default"/>
      <w:footerReference r:id="rId25" w:type="default"/>
      <w:footerReference r:id="rId26" w:type="even"/>
      <w:pgSz w:h="16838" w:w="11906"/>
      <w:pgMar w:bottom="1701" w:top="1985" w:left="1985" w:right="1985" w:header="1134" w:footer="851"/>
      <w:pgNumType w:start="106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(3/383).</w:t>
      </w:r>
    </w:p>
  </w:footnote>
  <w:footnote w:id="1"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(1/520).</w:t>
      </w:r>
    </w:p>
  </w:footnote>
  <w:footnote w:id="2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(124).</w:t>
      </w:r>
    </w:p>
  </w:footnote>
  <w:footnote w:id="3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(126).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مزاحم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الهلالي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صغره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وازدحم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(4/117).</w:t>
      </w:r>
    </w:p>
  </w:footnote>
  <w:footnote w:id="5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(5/46).</w:t>
      </w:r>
    </w:p>
  </w:footnote>
  <w:footnote w:id="6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(3/341).</w:t>
      </w:r>
    </w:p>
  </w:footnote>
  <w:footnote w:id="7"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غشنا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(1/99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164)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8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(48، 116).</w:t>
      </w:r>
    </w:p>
  </w:footnote>
  <w:footnote w:id="9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(3/341).</w:t>
      </w:r>
    </w:p>
  </w:footnote>
  <w:footnote w:id="10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(4/366).</w:t>
      </w:r>
    </w:p>
  </w:footnote>
  <w:footnote w:id="13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(4/366).</w:t>
      </w:r>
    </w:p>
  </w:footnote>
  <w:footnote w:id="14"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ممتنعا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16"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(5/421).</w:t>
      </w:r>
    </w:p>
  </w:footnote>
  <w:footnote w:id="17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رؤيتها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(4/113)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(5/46).</w:t>
      </w:r>
    </w:p>
  </w:footnote>
  <w:footnote w:id="19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أسكنتهم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بالمذكورتخلل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ومتعلقه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(13/344).</w:t>
      </w:r>
    </w:p>
  </w:footnote>
  <w:footnote w:id="20"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(3/1188)،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(8/21).</w:t>
      </w:r>
    </w:p>
  </w:footnote>
  <w:footnote w:id="21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الارتفاق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ارتفقت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انتفعت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والمرتزق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(1/476):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22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3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(5/47).</w:t>
      </w:r>
    </w:p>
  </w:footnote>
  <w:footnote w:id="25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(1/521).</w:t>
      </w:r>
    </w:p>
  </w:footnote>
  <w:footnote w:id="26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(4).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(64/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7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(2/299).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امتناع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(1/202).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الصياريف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(2/229).</w:t>
      </w:r>
    </w:p>
  </w:footnote>
  <w:footnote w:id="28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(5/284).</w:t>
      </w:r>
    </w:p>
  </w:footnote>
  <w:footnote w:id="29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0"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(6/2538)،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  <w:br w:type="textWrapping"/>
        <w:t xml:space="preserve">(5/284)،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(15/370).</w:t>
      </w:r>
    </w:p>
  </w:footnote>
  <w:footnote w:id="31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(3/386).</w:t>
      </w:r>
    </w:p>
  </w:footnote>
  <w:footnote w:id="32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بالافتقار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المطلوبات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متوكلا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فإلحاحه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المتوكلين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مظهرا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وافتقاره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سؤالا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وضرائه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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(186).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الاكتفاء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الافتقار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المتصوفة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السهروردي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0" w:right="0" w:firstLine="38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ويمنعني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أشكوى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0" w:right="0" w:firstLine="38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ويمنعني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الشكـوى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أشكــوه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(10/712)،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(13/348).</w:t>
      </w:r>
    </w:p>
  </w:footnote>
  <w:footnote w:id="33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(855).</w:t>
      </w:r>
    </w:p>
  </w:footnote>
  <w:footnote w:id="34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(3/387).</w:t>
      </w:r>
    </w:p>
  </w:footnote>
  <w:footnote w:id="36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(7/116).</w:t>
      </w:r>
    </w:p>
  </w:footnote>
  <w:footnote w:id="37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8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(3/387)،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(1/521).</w:t>
      </w:r>
    </w:p>
  </w:footnote>
  <w:footnote w:id="39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0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2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الدعوتين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(64/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6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(1/110، 114-115).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يعملوا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المقتضب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(8/155).</w:t>
      </w:r>
    </w:p>
  </w:footnote>
  <w:footnote w:id="47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(4/432).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وإجابته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(3/4).</w:t>
      </w:r>
    </w:p>
  </w:footnote>
  <w:footnote w:id="48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49"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(126).</w:t>
      </w:r>
    </w:p>
  </w:footnote>
  <w:footnote w:id="50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(3/388)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(9/375).</w:t>
      </w:r>
    </w:p>
  </w:footnote>
  <w:footnote w:id="51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(48).</w:t>
      </w:r>
    </w:p>
  </w:footnote>
  <w:footnote w:id="52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3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والنبيون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3579)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الأرنؤوط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2/236)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4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17190، 17191)،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(8/223):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والبزار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(1/83-85).</w:t>
      </w:r>
    </w:p>
  </w:footnote>
  <w:footnote w:id="55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داخلة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بالإثابة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(9/4).</w:t>
      </w:r>
    </w:p>
  </w:footnote>
  <w:footnote w:id="56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7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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(114).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(452).</w:t>
      </w:r>
    </w:p>
  </w:footnote>
  <w:footnote w:id="58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(3/389).</w:t>
      </w:r>
    </w:p>
  </w:footnote>
  <w:footnote w:id="60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(1/521).</w:t>
      </w:r>
    </w:p>
  </w:footnote>
  <w:footnote w:id="61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(5/480).</w:t>
      </w:r>
    </w:p>
  </w:footnote>
  <w:footnote w:id="62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3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(88).</w:t>
      </w:r>
    </w:p>
  </w:footnote>
  <w:footnote w:id="64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(105).</w:t>
      </w:r>
    </w:p>
  </w:footnote>
  <w:footnote w:id="65"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(1/521).</w:t>
      </w:r>
    </w:p>
  </w:footnote>
  <w:footnote w:id="66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(5/424)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لتثبيته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وتقويته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(13/156)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(7/45).</w:t>
      </w:r>
    </w:p>
  </w:footnote>
  <w:footnote w:id="71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(843):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الإهطاع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وإدامة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(1/255).</w:t>
      </w:r>
    </w:p>
  </w:footnote>
  <w:footnote w:id="73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(8/372).</w:t>
      </w:r>
    </w:p>
  </w:footnote>
  <w:footnote w:id="74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(13/157-158)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23647)،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الركوع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1039)،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التجافي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الركوع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ركوعه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(4/113).</w:t>
      </w:r>
    </w:p>
  </w:footnote>
  <w:footnote w:id="77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ركعتين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وتخشع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وتضرع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وتمسكن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ترفعها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التخشع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385)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17558)،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وادعة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المباركفوري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(326).</w:t>
      </w:r>
    </w:p>
  </w:footnote>
  <w:footnote w:id="78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(8/297).</w:t>
      </w:r>
    </w:p>
  </w:footnote>
  <w:footnote w:id="79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ومتخرقة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(1/522).</w:t>
      </w:r>
    </w:p>
  </w:footnote>
  <w:footnote w:id="81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(233).</w:t>
      </w:r>
    </w:p>
  </w:footnote>
  <w:footnote w:id="82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الأبطال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وينافح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بشعره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(64/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(7/86).</w:t>
      </w:r>
    </w:p>
  </w:footnote>
  <w:footnote w:id="83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(4/371)،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(9/35).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(11/209)،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نخب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  <w:br w:type="textWrapping"/>
        <w:t xml:space="preserve">(1/752)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(9/35)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(15/370).</w:t>
      </w:r>
    </w:p>
  </w:footnote>
  <w:footnote w:id="84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(1/260)،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بالإنذار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5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(4/372)،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6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7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8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(10).</w:t>
      </w:r>
    </w:p>
  </w:footnote>
  <w:footnote w:id="89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(28/76)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(4/159).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إبراهيم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6.png"/><Relationship Id="rId22" Type="http://schemas.openxmlformats.org/officeDocument/2006/relationships/image" Target="media/image2.png"/><Relationship Id="rId21" Type="http://schemas.openxmlformats.org/officeDocument/2006/relationships/image" Target="media/image30.png"/><Relationship Id="rId24" Type="http://schemas.openxmlformats.org/officeDocument/2006/relationships/header" Target="header1.xml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2.png"/><Relationship Id="rId26" Type="http://schemas.openxmlformats.org/officeDocument/2006/relationships/footer" Target="footer2.xml"/><Relationship Id="rId25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2.png"/><Relationship Id="rId8" Type="http://schemas.openxmlformats.org/officeDocument/2006/relationships/image" Target="media/image18.png"/><Relationship Id="rId11" Type="http://schemas.openxmlformats.org/officeDocument/2006/relationships/image" Target="media/image12.png"/><Relationship Id="rId10" Type="http://schemas.openxmlformats.org/officeDocument/2006/relationships/image" Target="media/image28.png"/><Relationship Id="rId13" Type="http://schemas.openxmlformats.org/officeDocument/2006/relationships/image" Target="media/image16.png"/><Relationship Id="rId12" Type="http://schemas.openxmlformats.org/officeDocument/2006/relationships/image" Target="media/image10.png"/><Relationship Id="rId15" Type="http://schemas.openxmlformats.org/officeDocument/2006/relationships/image" Target="media/image8.png"/><Relationship Id="rId14" Type="http://schemas.openxmlformats.org/officeDocument/2006/relationships/image" Target="media/image14.png"/><Relationship Id="rId17" Type="http://schemas.openxmlformats.org/officeDocument/2006/relationships/image" Target="media/image34.png"/><Relationship Id="rId16" Type="http://schemas.openxmlformats.org/officeDocument/2006/relationships/image" Target="media/image6.png"/><Relationship Id="rId19" Type="http://schemas.openxmlformats.org/officeDocument/2006/relationships/image" Target="media/image24.png"/><Relationship Id="rId1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