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إرادة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والمعنى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أنكم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أقسمتم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أيمانكم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يبعث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يموت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-1447799</wp:posOffset>
                </wp:positionH>
                <wp:positionV relativeFrom="paragraph">
                  <wp:posOffset>-507999</wp:posOffset>
                </wp:positionV>
                <wp:extent cx="809625" cy="36512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945950" y="3602200"/>
                          <a:ext cx="8001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(44)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-1447799</wp:posOffset>
                </wp:positionH>
                <wp:positionV relativeFrom="paragraph">
                  <wp:posOffset>-507999</wp:posOffset>
                </wp:positionV>
                <wp:extent cx="809625" cy="365125"/>
                <wp:effectExtent b="0" l="0" r="0" t="0"/>
                <wp:wrapNone/>
                <wp:docPr id="1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1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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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ابتداء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وانتقال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كقوله</w:t>
      </w:r>
      <w:r w:rsidDel="00000000" w:rsidR="00000000" w:rsidRPr="00000000">
        <w:rPr>
          <w:vertAlign w:val="baseline"/>
          <w:rtl w:val="1"/>
        </w:rPr>
        <w:t xml:space="preserve">: 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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قولهم</w:t>
      </w:r>
      <w:r w:rsidDel="00000000" w:rsidR="00000000" w:rsidRPr="00000000">
        <w:rPr>
          <w:vertAlign w:val="baseline"/>
          <w:rtl w:val="1"/>
        </w:rPr>
        <w:t xml:space="preserve">: 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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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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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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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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مـن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كلامهـم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ولعلهـم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أقسموا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غرورا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وبطرا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شبـه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أيقن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بالخلود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مؤكدا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بالقسم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شيدوا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البنيان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وطال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الزمان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-1447799</wp:posOffset>
                </wp:positionH>
                <wp:positionV relativeFrom="paragraph">
                  <wp:posOffset>-507999</wp:posOffset>
                </wp:positionV>
                <wp:extent cx="1317625" cy="36512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691950" y="3602200"/>
                          <a:ext cx="13081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الآيات (44-46)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-1447799</wp:posOffset>
                </wp:positionH>
                <wp:positionV relativeFrom="paragraph">
                  <wp:posOffset>-507999</wp:posOffset>
                </wp:positionV>
                <wp:extent cx="1317625" cy="365125"/>
                <wp:effectExtent b="0" l="0" r="0" t="0"/>
                <wp:wrapNone/>
                <wp:docPr id="1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7625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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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كعاد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وثمود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والأصل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السكنى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تعديته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كقولك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الدار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وأقام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ولما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تصرف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سكن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نهـا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3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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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كيف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أنزلنا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العذاب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واستأصلناهم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شاهدتم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آثار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بلغكم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تواترا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يبق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اشتباه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فاعل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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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مضمون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 </w:t>
      </w:r>
      <w:r w:rsidDel="00000000" w:rsidR="00000000" w:rsidRPr="00000000">
        <w:rPr>
          <w:vertAlign w:val="baseline"/>
          <w:rtl w:val="1"/>
        </w:rPr>
        <w:t xml:space="preserve">لتجرده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الاستفهام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4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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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قصصنا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أحوالهم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الغريبة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وقبائحهم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الشنيعة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أنزلنا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العذاب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الفظيع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مواضع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شتى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5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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مكرهم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استفرغوا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جهدهم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لخصمك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فعلت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فعلك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فعلي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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جزاؤه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يستحقون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العذاب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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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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مكرهم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عظم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تزول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الجبال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يريد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ثبات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ممثل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بالجبال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الراسية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يزعزعه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هؤلاء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الجحود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"/>
      </w:r>
      <w:r w:rsidDel="00000000" w:rsidR="00000000" w:rsidRPr="00000000">
        <w:rPr>
          <w:vertAlign w:val="superscript"/>
          <w:rtl w:val="0"/>
        </w:rPr>
        <w:t xml:space="preserve">)(</w:t>
      </w:r>
      <w:r w:rsidDel="00000000" w:rsidR="00000000" w:rsidRPr="00000000">
        <w:rPr>
          <w:vertAlign w:val="superscript"/>
        </w:rPr>
        <w:footnoteReference w:customMarkFollows="0" w:id="1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الكسائي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بفتح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اللام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فـ</w:t>
      </w:r>
      <w:r w:rsidDel="00000000" w:rsidR="00000000" w:rsidRPr="00000000">
        <w:rPr>
          <w:vertAlign w:val="baseline"/>
          <w:rtl w:val="1"/>
        </w:rPr>
        <w:t xml:space="preserve"> 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المخففة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الفارقة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والمعنى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مكرهم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عظمه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يزيل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كالجبال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شريعته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ومعجزاته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-1447799</wp:posOffset>
                </wp:positionH>
                <wp:positionV relativeFrom="paragraph">
                  <wp:posOffset>-495299</wp:posOffset>
                </wp:positionV>
                <wp:extent cx="1317625" cy="36512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691950" y="3602200"/>
                          <a:ext cx="13081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(45، 46)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-1447799</wp:posOffset>
                </wp:positionH>
                <wp:positionV relativeFrom="paragraph">
                  <wp:posOffset>-495299</wp:posOffset>
                </wp:positionV>
                <wp:extent cx="1317625" cy="365125"/>
                <wp:effectExtent b="0" l="0" r="0" t="0"/>
                <wp:wrapNone/>
                <wp:docPr id="17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7625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نمرود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ركب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توسط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خاف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الخبيثة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فاستنزلها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فظنت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الجبال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قهر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إلهي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فزالت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مواضعها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خوفا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ورعبا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-1485899</wp:posOffset>
                </wp:positionH>
                <wp:positionV relativeFrom="paragraph">
                  <wp:posOffset>-863599</wp:posOffset>
                </wp:positionV>
                <wp:extent cx="1317625" cy="36512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691950" y="3602200"/>
                          <a:ext cx="13081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(46، 47)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-1485899</wp:posOffset>
                </wp:positionH>
                <wp:positionV relativeFrom="paragraph">
                  <wp:posOffset>-863599</wp:posOffset>
                </wp:positionV>
                <wp:extent cx="1317625" cy="365125"/>
                <wp:effectExtent b="0" l="0" r="0" t="0"/>
                <wp:wrapNone/>
                <wp:docPr id="15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7625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 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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أخبر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أماكن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الميعاد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مواعده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سائر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فكيف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يخلفه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أشرف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المرسلين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vertAlign w:val="baseline"/>
          <w:rtl w:val="1"/>
        </w:rPr>
        <w:t xml:space="preserve">؟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المفعول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اهتماما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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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يغالب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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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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أعدائه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8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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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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انتصاب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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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للانتقام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الت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الصفات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يحتمل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 --: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تبدل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أوصافها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سي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جبالها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فج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بحارها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فتسوى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عوجا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أمتا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وتبدل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بانتثار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كواكبها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وكسوف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شمسها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وخسوف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قمرها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مسعود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وأنس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عنهما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vertAlign w:val="baseline"/>
          <w:rtl w:val="1"/>
        </w:rPr>
        <w:t xml:space="preserve">يحشر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بيضاء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يخطأ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خطأ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2"/>
      </w:r>
      <w:r w:rsidDel="00000000" w:rsidR="00000000" w:rsidRPr="00000000">
        <w:rPr>
          <w:vertAlign w:val="superscript"/>
          <w:rtl w:val="0"/>
        </w:rPr>
        <w:t xml:space="preserve">)(</w:t>
      </w:r>
      <w:r w:rsidDel="00000000" w:rsidR="00000000" w:rsidRPr="00000000">
        <w:rPr>
          <w:vertAlign w:val="superscript"/>
        </w:rPr>
        <w:footnoteReference w:customMarkFollows="0" w:id="3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وروى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البخاري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: «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يحشر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الناس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على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أرض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بيضاء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كق</w:t>
      </w:r>
      <w:r w:rsidDel="00000000" w:rsidR="00000000" w:rsidRPr="00000000">
        <w:rPr>
          <w:b w:val="1"/>
          <w:vertAlign w:val="baseline"/>
          <w:rtl w:val="1"/>
        </w:rPr>
        <w:t xml:space="preserve">ُ</w:t>
      </w:r>
      <w:r w:rsidDel="00000000" w:rsidR="00000000" w:rsidRPr="00000000">
        <w:rPr>
          <w:b w:val="1"/>
          <w:vertAlign w:val="baseline"/>
          <w:rtl w:val="1"/>
        </w:rPr>
        <w:t xml:space="preserve">ر</w:t>
      </w:r>
      <w:r w:rsidDel="00000000" w:rsidR="00000000" w:rsidRPr="00000000">
        <w:rPr>
          <w:b w:val="1"/>
          <w:vertAlign w:val="baseline"/>
          <w:rtl w:val="1"/>
        </w:rPr>
        <w:t xml:space="preserve">ْ</w:t>
      </w:r>
      <w:r w:rsidDel="00000000" w:rsidR="00000000" w:rsidRPr="00000000">
        <w:rPr>
          <w:b w:val="1"/>
          <w:vertAlign w:val="baseline"/>
          <w:rtl w:val="1"/>
        </w:rPr>
        <w:t xml:space="preserve">ص</w:t>
      </w:r>
      <w:r w:rsidDel="00000000" w:rsidR="00000000" w:rsidRPr="00000000">
        <w:rPr>
          <w:b w:val="1"/>
          <w:vertAlign w:val="baseline"/>
          <w:rtl w:val="1"/>
        </w:rPr>
        <w:t xml:space="preserve">َ</w:t>
      </w:r>
      <w:r w:rsidDel="00000000" w:rsidR="00000000" w:rsidRPr="00000000">
        <w:rPr>
          <w:b w:val="1"/>
          <w:vertAlign w:val="baseline"/>
          <w:rtl w:val="1"/>
        </w:rPr>
        <w:t xml:space="preserve">ة</w:t>
      </w:r>
      <w:r w:rsidDel="00000000" w:rsidR="00000000" w:rsidRPr="00000000">
        <w:rPr>
          <w:b w:val="1"/>
          <w:vertAlign w:val="baseline"/>
          <w:rtl w:val="1"/>
        </w:rPr>
        <w:t xml:space="preserve">ِ </w:t>
      </w:r>
      <w:r w:rsidDel="00000000" w:rsidR="00000000" w:rsidRPr="00000000">
        <w:rPr>
          <w:b w:val="1"/>
          <w:vertAlign w:val="baseline"/>
          <w:rtl w:val="1"/>
        </w:rPr>
        <w:t xml:space="preserve">الن</w:t>
      </w:r>
      <w:r w:rsidDel="00000000" w:rsidR="00000000" w:rsidRPr="00000000">
        <w:rPr>
          <w:b w:val="1"/>
          <w:vertAlign w:val="baseline"/>
          <w:rtl w:val="1"/>
        </w:rPr>
        <w:t xml:space="preserve">َّ</w:t>
      </w:r>
      <w:r w:rsidDel="00000000" w:rsidR="00000000" w:rsidRPr="00000000">
        <w:rPr>
          <w:b w:val="1"/>
          <w:vertAlign w:val="baseline"/>
          <w:rtl w:val="1"/>
        </w:rPr>
        <w:t xml:space="preserve">ق</w:t>
      </w:r>
      <w:r w:rsidDel="00000000" w:rsidR="00000000" w:rsidRPr="00000000">
        <w:rPr>
          <w:b w:val="1"/>
          <w:vertAlign w:val="baseline"/>
          <w:rtl w:val="1"/>
        </w:rPr>
        <w:t xml:space="preserve">ِ</w:t>
      </w:r>
      <w:r w:rsidDel="00000000" w:rsidR="00000000" w:rsidRPr="00000000">
        <w:rPr>
          <w:b w:val="1"/>
          <w:vertAlign w:val="baseline"/>
          <w:rtl w:val="1"/>
        </w:rPr>
        <w:t xml:space="preserve">ي</w:t>
      </w:r>
      <w:r w:rsidDel="00000000" w:rsidR="00000000" w:rsidRPr="00000000">
        <w:rPr>
          <w:b w:val="1"/>
          <w:vertAlign w:val="baseline"/>
          <w:rtl w:val="1"/>
        </w:rPr>
        <w:t xml:space="preserve">ِّ </w:t>
      </w:r>
      <w:r w:rsidDel="00000000" w:rsidR="00000000" w:rsidRPr="00000000">
        <w:rPr>
          <w:b w:val="1"/>
          <w:vertAlign w:val="baseline"/>
          <w:rtl w:val="1"/>
        </w:rPr>
        <w:t xml:space="preserve">لا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</w:t>
      </w:r>
      <w:r w:rsidDel="00000000" w:rsidR="00000000" w:rsidRPr="00000000">
        <w:rPr>
          <w:b w:val="1"/>
          <w:vertAlign w:val="baseline"/>
          <w:rtl w:val="1"/>
        </w:rPr>
        <w:t xml:space="preserve">َ</w:t>
      </w:r>
      <w:r w:rsidDel="00000000" w:rsidR="00000000" w:rsidRPr="00000000">
        <w:rPr>
          <w:b w:val="1"/>
          <w:vertAlign w:val="baseline"/>
          <w:rtl w:val="1"/>
        </w:rPr>
        <w:t xml:space="preserve">ع</w:t>
      </w:r>
      <w:r w:rsidDel="00000000" w:rsidR="00000000" w:rsidRPr="00000000">
        <w:rPr>
          <w:b w:val="1"/>
          <w:vertAlign w:val="baseline"/>
          <w:rtl w:val="1"/>
        </w:rPr>
        <w:t xml:space="preserve">ْ</w:t>
      </w:r>
      <w:r w:rsidDel="00000000" w:rsidR="00000000" w:rsidRPr="00000000">
        <w:rPr>
          <w:b w:val="1"/>
          <w:vertAlign w:val="baseline"/>
          <w:rtl w:val="1"/>
        </w:rPr>
        <w:t xml:space="preserve">ل</w:t>
      </w:r>
      <w:r w:rsidDel="00000000" w:rsidR="00000000" w:rsidRPr="00000000">
        <w:rPr>
          <w:b w:val="1"/>
          <w:vertAlign w:val="baseline"/>
          <w:rtl w:val="1"/>
        </w:rPr>
        <w:t xml:space="preserve">َ</w:t>
      </w:r>
      <w:r w:rsidDel="00000000" w:rsidR="00000000" w:rsidRPr="00000000">
        <w:rPr>
          <w:b w:val="1"/>
          <w:vertAlign w:val="baseline"/>
          <w:rtl w:val="1"/>
        </w:rPr>
        <w:t xml:space="preserve">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فيها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لأحد</w:t>
      </w:r>
      <w:r w:rsidDel="00000000" w:rsidR="00000000" w:rsidRPr="00000000">
        <w:rPr>
          <w:b w:val="1"/>
          <w:vertAlign w:val="baseline"/>
          <w:rtl w:val="1"/>
        </w:rPr>
        <w:t xml:space="preserve"> </w:t>
      </w:r>
      <w:r w:rsidDel="00000000" w:rsidR="00000000" w:rsidRPr="00000000">
        <w:rPr>
          <w:vertAlign w:val="baseline"/>
          <w:rtl w:val="0"/>
        </w:rPr>
        <w:t xml:space="preserve">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وروى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عائشة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عنها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سألت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أين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يومئذ</w:t>
      </w:r>
      <w:r w:rsidDel="00000000" w:rsidR="00000000" w:rsidRPr="00000000">
        <w:rPr>
          <w:vertAlign w:val="baseline"/>
          <w:rtl w:val="1"/>
        </w:rPr>
        <w:t xml:space="preserve">؟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«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على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الصراط</w:t>
      </w:r>
      <w:r w:rsidDel="00000000" w:rsidR="00000000" w:rsidRPr="00000000">
        <w:rPr>
          <w:vertAlign w:val="baseline"/>
          <w:rtl w:val="0"/>
        </w:rPr>
        <w:t xml:space="preserve"> 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baseline"/>
          <w:rtl w:val="1"/>
        </w:rPr>
        <w:t xml:space="preserve"> --: « </w:t>
      </w:r>
      <w:r w:rsidDel="00000000" w:rsidR="00000000" w:rsidRPr="00000000">
        <w:rPr>
          <w:vertAlign w:val="baseline"/>
          <w:rtl w:val="1"/>
        </w:rPr>
        <w:t xml:space="preserve">تبدل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فضة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ذهب</w:t>
      </w:r>
      <w:r w:rsidDel="00000000" w:rsidR="00000000" w:rsidRPr="00000000">
        <w:rPr>
          <w:vertAlign w:val="baseline"/>
          <w:rtl w:val="1"/>
        </w:rPr>
        <w:t xml:space="preserve"> 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-1409699</wp:posOffset>
                </wp:positionH>
                <wp:positionV relativeFrom="paragraph">
                  <wp:posOffset>-1650999</wp:posOffset>
                </wp:positionV>
                <wp:extent cx="1317625" cy="3651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691950" y="3602200"/>
                          <a:ext cx="13081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(47، 48)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-1409699</wp:posOffset>
                </wp:positionH>
                <wp:positionV relativeFrom="paragraph">
                  <wp:posOffset>-1650999</wp:posOffset>
                </wp:positionV>
                <wp:extent cx="1317625" cy="365125"/>
                <wp:effectExtent b="0" l="0" r="0" t="0"/>
                <wp:wrapNone/>
                <wp:docPr id="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7625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-1346199</wp:posOffset>
                </wp:positionH>
                <wp:positionV relativeFrom="paragraph">
                  <wp:posOffset>-482599</wp:posOffset>
                </wp:positionV>
                <wp:extent cx="809625" cy="3651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945950" y="3602200"/>
                          <a:ext cx="8001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(48)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-1346199</wp:posOffset>
                </wp:positionH>
                <wp:positionV relativeFrom="paragraph">
                  <wp:posOffset>-482599</wp:posOffset>
                </wp:positionV>
                <wp:extent cx="809625" cy="365125"/>
                <wp:effectExtent b="0" l="0" r="0" t="0"/>
                <wp:wrapNone/>
                <wp:docPr id="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والظاهر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التبدل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الصفات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أبوهريرة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4" w:cs="HQPB4" w:eastAsia="HQPB4" w:hAnsi="HQPB4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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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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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« </w:t>
      </w:r>
      <w:r w:rsidDel="00000000" w:rsidR="00000000" w:rsidRPr="00000000">
        <w:rPr>
          <w:b w:val="1"/>
          <w:vertAlign w:val="baseline"/>
          <w:rtl w:val="1"/>
        </w:rPr>
        <w:t xml:space="preserve">أتدرون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أخبارها</w:t>
      </w:r>
      <w:r w:rsidDel="00000000" w:rsidR="00000000" w:rsidRPr="00000000">
        <w:rPr>
          <w:b w:val="1"/>
          <w:vertAlign w:val="baseline"/>
          <w:rtl w:val="1"/>
        </w:rPr>
        <w:t xml:space="preserve">؟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» </w:t>
      </w:r>
      <w:r w:rsidDel="00000000" w:rsidR="00000000" w:rsidRPr="00000000">
        <w:rPr>
          <w:vertAlign w:val="baseline"/>
          <w:rtl w:val="1"/>
        </w:rPr>
        <w:t xml:space="preserve">قالوا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ورسوله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« </w:t>
      </w:r>
      <w:r w:rsidDel="00000000" w:rsidR="00000000" w:rsidRPr="00000000">
        <w:rPr>
          <w:b w:val="1"/>
          <w:vertAlign w:val="baseline"/>
          <w:rtl w:val="1"/>
        </w:rPr>
        <w:t xml:space="preserve">أخبارها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تشهد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على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كل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عبد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وأمة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بما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عمل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على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ظهرها</w:t>
      </w:r>
      <w:r w:rsidDel="00000000" w:rsidR="00000000" w:rsidRPr="00000000">
        <w:rPr>
          <w:vertAlign w:val="baseline"/>
          <w:rtl w:val="0"/>
        </w:rPr>
        <w:t xml:space="preserve"> 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ويؤيده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ثعلب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والمبرد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التبديل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تغيير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الجوهر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والإبدال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تنحية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الجوهر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وإحداث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-1346199</wp:posOffset>
                </wp:positionH>
                <wp:positionV relativeFrom="paragraph">
                  <wp:posOffset>-1663699</wp:posOffset>
                </wp:positionV>
                <wp:extent cx="809625" cy="36512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945950" y="3602200"/>
                          <a:ext cx="8001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(48)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-1346199</wp:posOffset>
                </wp:positionH>
                <wp:positionV relativeFrom="paragraph">
                  <wp:posOffset>-1663699</wp:posOffset>
                </wp:positionV>
                <wp:extent cx="809625" cy="365125"/>
                <wp:effectExtent b="0" l="0" r="0" t="0"/>
                <wp:wrapNone/>
                <wp:docPr id="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-1333499</wp:posOffset>
                </wp:positionH>
                <wp:positionV relativeFrom="paragraph">
                  <wp:posOffset>-469899</wp:posOffset>
                </wp:positionV>
                <wp:extent cx="809625" cy="36512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945950" y="3602200"/>
                          <a:ext cx="8001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(48)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-1333499</wp:posOffset>
                </wp:positionH>
                <wp:positionV relativeFrom="paragraph">
                  <wp:posOffset>-469899</wp:posOffset>
                </wp:positionV>
                <wp:extent cx="809625" cy="365125"/>
                <wp:effectExtent b="0" l="0" r="0" t="0"/>
                <wp:wrapNone/>
                <wp:docPr id="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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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الأجداث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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الوصفين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إصابة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: 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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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غلاب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غالب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-1422399</wp:posOffset>
                </wp:positionH>
                <wp:positionV relativeFrom="paragraph">
                  <wp:posOffset>-520699</wp:posOffset>
                </wp:positionV>
                <wp:extent cx="1317625" cy="36512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691950" y="3602200"/>
                          <a:ext cx="13081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(48، 49)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-1422399</wp:posOffset>
                </wp:positionH>
                <wp:positionV relativeFrom="paragraph">
                  <wp:posOffset>-520699</wp:posOffset>
                </wp:positionV>
                <wp:extent cx="1317625" cy="365125"/>
                <wp:effectExtent b="0" l="0" r="0" t="0"/>
                <wp:wrapNone/>
                <wp:docPr id="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7625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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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</w:t>
      </w:r>
      <w:r w:rsidDel="00000000" w:rsidR="00000000" w:rsidRPr="00000000">
        <w:rPr>
          <w:vertAlign w:val="baseline"/>
          <w:rtl w:val="1"/>
        </w:rPr>
        <w:t xml:space="preserve">ِِ</w:t>
      </w:r>
      <w:r w:rsidDel="00000000" w:rsidR="00000000" w:rsidRPr="00000000">
        <w:rPr>
          <w:vertAlign w:val="baseline"/>
          <w:rtl w:val="1"/>
        </w:rPr>
        <w:t xml:space="preserve">ران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بالحج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العمرة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والقر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بفتح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الراء</w:t>
      </w:r>
      <w:r w:rsidDel="00000000" w:rsidR="00000000" w:rsidRPr="00000000">
        <w:rPr>
          <w:vertAlign w:val="baseline"/>
          <w:rtl w:val="1"/>
        </w:rPr>
        <w:t xml:space="preserve">-: </w:t>
      </w:r>
      <w:r w:rsidDel="00000000" w:rsidR="00000000" w:rsidRPr="00000000">
        <w:rPr>
          <w:vertAlign w:val="baseline"/>
          <w:rtl w:val="1"/>
        </w:rPr>
        <w:t xml:space="preserve">الحبل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الشيئين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والأص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اد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القيد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/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b w:val="1"/>
          <w:vertAlign w:val="baseline"/>
          <w:rtl w:val="1"/>
        </w:rPr>
        <w:t xml:space="preserve">نهى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superscript"/>
          <w:rtl w:val="0"/>
        </w:rPr>
        <w:t xml:space="preserve">(</w:t>
      </w:r>
      <w:r w:rsidDel="00000000" w:rsidR="00000000" w:rsidRPr="00000000">
        <w:rPr>
          <w:b w:val="1"/>
          <w:vertAlign w:val="superscript"/>
        </w:rPr>
        <w:footnoteReference w:customMarkFollows="0" w:id="51"/>
      </w:r>
      <w:r w:rsidDel="00000000" w:rsidR="00000000" w:rsidRPr="00000000">
        <w:rPr>
          <w:b w:val="1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صلاة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الص</w:t>
      </w:r>
      <w:r w:rsidDel="00000000" w:rsidR="00000000" w:rsidRPr="00000000">
        <w:rPr>
          <w:b w:val="1"/>
          <w:vertAlign w:val="baseline"/>
          <w:rtl w:val="1"/>
        </w:rPr>
        <w:t xml:space="preserve">َّ</w:t>
      </w:r>
      <w:r w:rsidDel="00000000" w:rsidR="00000000" w:rsidRPr="00000000">
        <w:rPr>
          <w:b w:val="1"/>
          <w:vertAlign w:val="baseline"/>
          <w:rtl w:val="1"/>
        </w:rPr>
        <w:t xml:space="preserve">اف</w:t>
      </w:r>
      <w:r w:rsidDel="00000000" w:rsidR="00000000" w:rsidRPr="00000000">
        <w:rPr>
          <w:b w:val="1"/>
          <w:vertAlign w:val="baseline"/>
          <w:rtl w:val="1"/>
        </w:rPr>
        <w:t xml:space="preserve">ِ</w:t>
      </w:r>
      <w:r w:rsidDel="00000000" w:rsidR="00000000" w:rsidRPr="00000000">
        <w:rPr>
          <w:b w:val="1"/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0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يقرن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رجليه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كأنهما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قيد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لاشتراكهم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العقائد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الأصفاد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والمعاصي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حشرون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محجلين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آثار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الوضوء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-2184399</wp:posOffset>
                </wp:positionH>
                <wp:positionV relativeFrom="paragraph">
                  <wp:posOffset>838200</wp:posOffset>
                </wp:positionV>
                <wp:extent cx="743585" cy="31813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978970" y="3625695"/>
                          <a:ext cx="73406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154/ب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-2184399</wp:posOffset>
                </wp:positionH>
                <wp:positionV relativeFrom="paragraph">
                  <wp:posOffset>838200</wp:posOffset>
                </wp:positionV>
                <wp:extent cx="743585" cy="318135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3585" cy="318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قمصانهم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بال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والقطران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صمغ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يطبخ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ويلطخ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جلد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فتحرق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منتن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الرائحة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والغرض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تغليظ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العذاب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لاشتماله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ونتن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الرائحة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وسرعة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اشتغال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يعقوب</w:t>
      </w:r>
      <w:r w:rsidDel="00000000" w:rsidR="00000000" w:rsidRPr="00000000">
        <w:rPr>
          <w:vertAlign w:val="baseline"/>
          <w:rtl w:val="1"/>
        </w:rPr>
        <w:t xml:space="preserve"> "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طر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آن</w:t>
      </w:r>
      <w:r w:rsidDel="00000000" w:rsidR="00000000" w:rsidRPr="00000000">
        <w:rPr>
          <w:vertAlign w:val="baseline"/>
          <w:rtl w:val="1"/>
        </w:rPr>
        <w:t xml:space="preserve">ٍ"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كلمتان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القطر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النحاس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والآني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المتناهي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الحرارة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-1396999</wp:posOffset>
                </wp:positionH>
                <wp:positionV relativeFrom="paragraph">
                  <wp:posOffset>-876299</wp:posOffset>
                </wp:positionV>
                <wp:extent cx="1317625" cy="36512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691950" y="3602200"/>
                          <a:ext cx="13081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(49، 50)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-1396999</wp:posOffset>
                </wp:positionH>
                <wp:positionV relativeFrom="paragraph">
                  <wp:posOffset>-876299</wp:posOffset>
                </wp:positionV>
                <wp:extent cx="1317625" cy="365125"/>
                <wp:effectExtent b="0" l="0" r="0" t="0"/>
                <wp:wrapNone/>
                <wp:docPr id="18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7625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-1435099</wp:posOffset>
                </wp:positionH>
                <wp:positionV relativeFrom="paragraph">
                  <wp:posOffset>-533399</wp:posOffset>
                </wp:positionV>
                <wp:extent cx="809625" cy="36512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945950" y="3602200"/>
                          <a:ext cx="8001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(50)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-1435099</wp:posOffset>
                </wp:positionH>
                <wp:positionV relativeFrom="paragraph">
                  <wp:posOffset>-533399</wp:posOffset>
                </wp:positionV>
                <wp:extent cx="809625" cy="365125"/>
                <wp:effectExtent b="0" l="0" r="0" t="0"/>
                <wp:wrapNone/>
                <wp:docPr id="1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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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أشرف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الأعضاء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كقوله</w:t>
      </w:r>
      <w:r w:rsidDel="00000000" w:rsidR="00000000" w:rsidRPr="00000000">
        <w:rPr>
          <w:vertAlign w:val="baseline"/>
          <w:rtl w:val="1"/>
        </w:rPr>
        <w:t xml:space="preserve">: 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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 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superscript"/>
          <w:rtl w:val="0"/>
        </w:rPr>
        <w:t xml:space="preserve">(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superscript"/>
        </w:rPr>
        <w:footnoteReference w:customMarkFollows="0" w:id="65"/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superscript"/>
          <w:rtl w:val="0"/>
        </w:rPr>
        <w:t xml:space="preserve">)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وقوله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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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أشرف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الأعضاء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الباطنة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-1371599</wp:posOffset>
                </wp:positionH>
                <wp:positionV relativeFrom="paragraph">
                  <wp:posOffset>-888999</wp:posOffset>
                </wp:positionV>
                <wp:extent cx="809625" cy="36512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945950" y="3602200"/>
                          <a:ext cx="8001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(50)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-1371599</wp:posOffset>
                </wp:positionH>
                <wp:positionV relativeFrom="paragraph">
                  <wp:posOffset>-888999</wp:posOffset>
                </wp:positionV>
                <wp:extent cx="809625" cy="365125"/>
                <wp:effectExtent b="0" l="0" r="0" t="0"/>
                <wp:wrapNone/>
                <wp:docPr id="13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قيل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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vertAlign w:val="baseline"/>
          <w:rtl w:val="0"/>
        </w:rPr>
        <w:t xml:space="preserve">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superscript"/>
          <w:rtl w:val="0"/>
        </w:rPr>
        <w:t xml:space="preserve">(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superscript"/>
        </w:rPr>
        <w:footnoteReference w:customMarkFollows="0" w:id="70"/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vertAlign w:val="baseline"/>
          <w:rtl w:val="0"/>
        </w:rPr>
        <w:t xml:space="preserve">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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أحوال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مفعول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روعي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الترقي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جعلت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اسمية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والثالثة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مضارعية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للاستحضار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المقصود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والظاهر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استئناف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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عطف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إفادة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للاستمرارين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المضارع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المثبت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يرضاه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البلغاء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-1320799</wp:posOffset>
                </wp:positionH>
                <wp:positionV relativeFrom="paragraph">
                  <wp:posOffset>-507999</wp:posOffset>
                </wp:positionV>
                <wp:extent cx="809625" cy="36512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945950" y="3602200"/>
                          <a:ext cx="8001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(50)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-1320799</wp:posOffset>
                </wp:positionH>
                <wp:positionV relativeFrom="paragraph">
                  <wp:posOffset>-507999</wp:posOffset>
                </wp:positionV>
                <wp:extent cx="809625" cy="365125"/>
                <wp:effectExtent b="0" l="0" r="0" t="0"/>
                <wp:wrapNone/>
                <wp:docPr id="14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مؤمنة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وكافرة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جازى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الإجرام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والعصيان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الطاعة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والإيمان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أولى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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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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يشغله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شأن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-1460499</wp:posOffset>
                </wp:positionH>
                <wp:positionV relativeFrom="paragraph">
                  <wp:posOffset>-507999</wp:posOffset>
                </wp:positionV>
                <wp:extent cx="1317625" cy="36512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691950" y="3602200"/>
                          <a:ext cx="13081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(51، 52)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-1460499</wp:posOffset>
                </wp:positionH>
                <wp:positionV relativeFrom="paragraph">
                  <wp:posOffset>-507999</wp:posOffset>
                </wp:positionV>
                <wp:extent cx="1317625" cy="365125"/>
                <wp:effectExtent b="0" l="0" r="0" t="0"/>
                <wp:wrapNone/>
                <wp:docPr id="16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7625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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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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إشـارة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: 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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8"/>
      </w:r>
      <w:r w:rsidDel="00000000" w:rsidR="00000000" w:rsidRPr="00000000">
        <w:rPr>
          <w:vertAlign w:val="superscript"/>
          <w:rtl w:val="0"/>
        </w:rPr>
        <w:t xml:space="preserve">)(</w:t>
      </w:r>
      <w:r w:rsidDel="00000000" w:rsidR="00000000" w:rsidRPr="00000000">
        <w:rPr>
          <w:vertAlign w:val="superscript"/>
        </w:rPr>
        <w:footnoteReference w:customMarkFollows="0" w:id="7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التذكير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والعظة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كالفذلكة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خاتمة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الفاتحة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</w:t>
        <w:br w:type="textWrapping"/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عطف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محذوف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لينصحوا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ولينذروا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البلاغ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لأنهم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أنذروا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وخافوا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أنذروا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دعاهم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التوحيد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الخشية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</w:t>
      </w:r>
      <w:r w:rsidDel="00000000" w:rsidR="00000000" w:rsidRPr="00000000">
        <w:rPr>
          <w:vertAlign w:val="baseline"/>
          <w:rtl w:val="1"/>
        </w:rPr>
        <w:t xml:space="preserve">ُّ </w:t>
      </w:r>
      <w:r w:rsidDel="00000000" w:rsidR="00000000" w:rsidRPr="00000000">
        <w:rPr>
          <w:vertAlign w:val="baseline"/>
          <w:rtl w:val="1"/>
        </w:rPr>
        <w:t xml:space="preserve">الخير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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ذوو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الخالصة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العالمون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وبصفاته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ذهول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فيتذكرون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البلاغ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-1346199</wp:posOffset>
                </wp:positionH>
                <wp:positionV relativeFrom="paragraph">
                  <wp:posOffset>-482599</wp:posOffset>
                </wp:positionV>
                <wp:extent cx="809625" cy="3651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45950" y="3602200"/>
                          <a:ext cx="8001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(52)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-1346199</wp:posOffset>
                </wp:positionH>
                <wp:positionV relativeFrom="paragraph">
                  <wp:posOffset>-482599</wp:posOffset>
                </wp:positionV>
                <wp:extent cx="809625" cy="3651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للبلاغ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ثلاث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فوائد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إنزال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الكتب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تكميل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الرسل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المرسل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واستكمال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النظرية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غايتها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التوحيد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وإصلاح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العملية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بالتدرع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بلباس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التقوى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حشرنا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زمرة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المتقين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وآله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الطيبين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9"/>
      </w:r>
      <w:r w:rsidDel="00000000" w:rsidR="00000000" w:rsidRPr="00000000">
        <w:rPr>
          <w:vertAlign w:val="superscript"/>
          <w:rtl w:val="0"/>
        </w:rPr>
        <w:t xml:space="preserve">)(</w:t>
      </w:r>
      <w:r w:rsidDel="00000000" w:rsidR="00000000" w:rsidRPr="00000000">
        <w:rPr>
          <w:vertAlign w:val="superscript"/>
        </w:rPr>
        <w:footnoteReference w:customMarkFollows="0" w:id="9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-1320799</wp:posOffset>
                </wp:positionH>
                <wp:positionV relativeFrom="paragraph">
                  <wp:posOffset>-1269999</wp:posOffset>
                </wp:positionV>
                <wp:extent cx="809625" cy="365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945950" y="3602200"/>
                          <a:ext cx="8001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(52)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-1320799</wp:posOffset>
                </wp:positionH>
                <wp:positionV relativeFrom="paragraph">
                  <wp:posOffset>-1269999</wp:posOffset>
                </wp:positionV>
                <wp:extent cx="809625" cy="36512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widowControl w:val="0"/>
        <w:bidi w:val="1"/>
        <w:ind w:left="0" w:right="0"/>
        <w:contextualSpacing w:val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-1384299</wp:posOffset>
                </wp:positionH>
                <wp:positionV relativeFrom="paragraph">
                  <wp:posOffset>-495299</wp:posOffset>
                </wp:positionV>
                <wp:extent cx="809625" cy="3651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945950" y="3602200"/>
                          <a:ext cx="8001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(52)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-1384299</wp:posOffset>
                </wp:positionH>
                <wp:positionV relativeFrom="paragraph">
                  <wp:posOffset>-495299</wp:posOffset>
                </wp:positionV>
                <wp:extent cx="809625" cy="365125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25" w:type="default"/>
      <w:footerReference r:id="rId26" w:type="default"/>
      <w:footerReference r:id="rId27" w:type="even"/>
      <w:pgSz w:h="16838" w:w="11906"/>
      <w:pgMar w:bottom="1701" w:top="1985" w:left="1985" w:right="1985" w:header="1134" w:footer="851"/>
      <w:pgNumType w:start="1076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HQPB3"/>
  <w:font w:name="HQPB4"/>
  <w:font w:name="HQPB5"/>
  <w:font w:name="AGA Arabesque"/>
  <w:font w:name="HQPB1"/>
  <w:font w:name="HQPB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102"/>
        <w:szCs w:val="102"/>
        <w:u w:val="none"/>
        <w:shd w:fill="auto" w:val="clear"/>
        <w:vertAlign w:val="baseline"/>
        <w:rtl w:val="0"/>
      </w:rPr>
      <w:t xml:space="preserve">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توبيخا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تكونوا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أقسمتم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(5/424)،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(13/359).</w:t>
      </w:r>
    </w:p>
  </w:footnote>
  <w:footnote w:id="1"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(1/261)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(13/159)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(4/360)،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(4/372)،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(5/425).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(3/392)،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(1/522)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تزالون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والفناء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(5/425)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بجيد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والفناء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"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نقله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الخفاجي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(5/484)،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والألوسي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المعانـي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(13/359)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مبهما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"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(108).</w:t>
      </w:r>
    </w:p>
  </w:footnote>
  <w:footnote w:id="4"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(107).</w:t>
      </w:r>
    </w:p>
  </w:footnote>
  <w:footnote w:id="5"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أقسموا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ينتقلون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الآخرة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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/38،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الصفحة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"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بالخلو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ومؤكدا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بالخلود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ومؤكدا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الأقرب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"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(3/391)،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(1/522).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(603).</w:t>
      </w:r>
    </w:p>
  </w:footnote>
  <w:footnote w:id="8"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بحذف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9"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بحذف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0"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1"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(3/392)،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(1/522).</w:t>
      </w:r>
    </w:p>
  </w:footnote>
  <w:footnote w:id="12"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13"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الفارسي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(4/360)،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(3/392)،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(1/522)،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(2/773).</w:t>
      </w:r>
    </w:p>
  </w:footnote>
  <w:footnote w:id="14"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الجبال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5"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فينصب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المضارع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المضمرة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أوضح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(4/170)،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(157).</w:t>
      </w:r>
    </w:p>
  </w:footnote>
  <w:footnote w:id="16"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(33).</w:t>
      </w:r>
    </w:p>
  </w:footnote>
  <w:footnote w:id="17"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(13/162)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ورجحه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(3/166)،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الفارسي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(5/31-33)،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ونقله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(1/261)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لتزول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الجبال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(3/543)،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(2/774)،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(5/426).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(3/392)،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(1/522)،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وجوزه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شدته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الجبال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8"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تزول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(363)،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(110)،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الإقناع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(2/678).</w:t>
      </w:r>
    </w:p>
  </w:footnote>
  <w:footnote w:id="19"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الفارسي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(2/187)،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(2/713)،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(2/61).</w:t>
      </w:r>
    </w:p>
  </w:footnote>
  <w:footnote w:id="20"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(13/160-161)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بسياق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أطول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(5/54).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نمرود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الجعبري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موضوعة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والجعبري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برهان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الجعبري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742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المخطوطة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المتصلة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وعلومه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مصنفات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(4/172)،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الجعبري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وجهوده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(133).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نمرود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ضعفها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واستبعدها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والرازي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(19/114)،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(5/426).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يصح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ضعف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تصعد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يغرر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واستبعدها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لنمرود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هاهنا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(3/167).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غايتها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الإسرائليات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مخالفة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ومقتضى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1"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2"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مواعده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3"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(3/393).</w:t>
      </w:r>
    </w:p>
  </w:footnote>
  <w:footnote w:id="24"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سيبويه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يقدمون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همانهم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ويعنيانهم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(1/34).</w:t>
      </w:r>
    </w:p>
  </w:footnote>
  <w:footnote w:id="25"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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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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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(44).</w:t>
      </w:r>
    </w:p>
  </w:footnote>
  <w:footnote w:id="26"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(3/393)،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(3/169)،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(2/774)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(1/523)،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(7/129).</w:t>
      </w:r>
    </w:p>
  </w:footnote>
  <w:footnote w:id="27"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التبديل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8"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(3/393):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التبديل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التغيير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كقولك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الدراهم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دنانير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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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الأوصاف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كقولك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الحلقة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خاتما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أذبتها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وسويتها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خاتما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فنقلتها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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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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(70)".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(1/167).</w:t>
      </w:r>
    </w:p>
  </w:footnote>
  <w:footnote w:id="29"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يحتمل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0"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(1/523).</w:t>
      </w:r>
    </w:p>
  </w:footnote>
  <w:footnote w:id="31"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أورده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(5/57)،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وعزاه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للبيهقي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البعث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(4/375).</w:t>
      </w:r>
    </w:p>
  </w:footnote>
  <w:footnote w:id="32"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خطأة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3"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(13/164)،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والطبراني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(9/232)،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(4/570)،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الشيخين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ووافقه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الذهبي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الأثرين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(4/376)،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(4/439)،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تبدل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فضة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4"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الرقاق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يقبض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(7/194)،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المنافقين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وأحكامهم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البعث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والنشور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(4/2150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بنحوه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وقرصة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الرغيف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المصنوع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والنخال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مستوية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العلامات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سكنى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(11/375).</w:t>
      </w:r>
    </w:p>
  </w:footnote>
  <w:footnote w:id="35"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6"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المنافقين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وأحكامهم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البعث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والنشور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(4/2150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ولفظه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سألت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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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</w:footnote>
  <w:footnote w:id="37"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(13/165)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فضة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(4/362)،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(4/439)،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والسيوطي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(5/57)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8"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ونقله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(3/545)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(3/169).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وعطاء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التبديل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تبديل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والقرظي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وعكرمة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واختاره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(13/165)،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والسمرقندي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(2/249)،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(4/362)،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والقرطبي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(9/383)،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ونسبه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الأرجح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وللأحاديث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الصحيحة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ولسلامته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المسألة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أدلة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التذكرة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الآخرة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(215)،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(11/375).</w:t>
      </w:r>
    </w:p>
  </w:footnote>
  <w:footnote w:id="39"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الزلزلة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(4).</w:t>
      </w:r>
    </w:p>
  </w:footnote>
  <w:footnote w:id="40"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(2/374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8854)،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أخبارها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(7/144)،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(2/256)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وصححه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(8/502)،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(15/116)،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شاكر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(17/42):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إسناده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1"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أبوالعباس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الشيباني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بثعلب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الكوفيين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291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(14/5)،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بغية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(1/396).</w:t>
      </w:r>
    </w:p>
  </w:footnote>
  <w:footnote w:id="42"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عبدالأكبر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الأزدي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أبوالعباس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المازني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السجستاني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286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(576)،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بغية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(1/269).</w:t>
      </w:r>
    </w:p>
  </w:footnote>
  <w:footnote w:id="43"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الجرم</w:t>
      </w:r>
    </w:p>
  </w:footnote>
  <w:footnote w:id="44"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(14/132)،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(11/48)،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المبرد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جعلت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أبدلت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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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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أزال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السيئات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مكانها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</w:footnote>
  <w:footnote w:id="45"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القطع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موضعه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حزز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(5/334).</w:t>
      </w:r>
    </w:p>
  </w:footnote>
  <w:footnote w:id="46"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(16).</w:t>
      </w:r>
    </w:p>
  </w:footnote>
  <w:footnote w:id="47"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(3/394)،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(1/523).</w:t>
      </w:r>
    </w:p>
  </w:footnote>
  <w:footnote w:id="48"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(9/88)،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(13/336).</w:t>
      </w:r>
    </w:p>
  </w:footnote>
  <w:footnote w:id="49"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(1/345)،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(3/170).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صفد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(3/256):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يوثق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</w:footnote>
  <w:footnote w:id="50"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1"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2"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صفد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(3/35).</w:t>
      </w:r>
    </w:p>
  </w:footnote>
  <w:footnote w:id="53"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منظور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صفد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(3/256).</w:t>
      </w:r>
    </w:p>
  </w:footnote>
  <w:footnote w:id="54"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(4/377):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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يقرنون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الشياطين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أيديهم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وأرجلهم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رقابهم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والثالث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الأقرب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(4/363).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(13/167)،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(234)،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(3/394)،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(5/428).</w:t>
      </w:r>
    </w:p>
  </w:footnote>
  <w:footnote w:id="55"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الأصفاد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حقيقية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والمعاصي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للأصفاد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6"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هريرة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«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يدعون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محجلين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آثار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استطاع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يطيل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غرته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فليفعل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المحجلون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آثار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(1/235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الطهارة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استحباب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إطالة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والتحجيل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(1/216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34)،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7"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أبوعبيدة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(1/345)،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(234)،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(13/167)،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(3/546)،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(3/170):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السربال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8"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الأبهل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شجرة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(4/1643)،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(11/73).</w:t>
      </w:r>
    </w:p>
  </w:footnote>
  <w:footnote w:id="59"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يصيب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(1/259).</w:t>
      </w:r>
    </w:p>
  </w:footnote>
  <w:footnote w:id="60"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قطر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(4/105).</w:t>
      </w:r>
    </w:p>
  </w:footnote>
  <w:footnote w:id="61"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(3/394): "...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لتجتمع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لذع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القطران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وحرقته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وإسراع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جلودهم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الوحش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ونتن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التفاوت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القطرانين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قطران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وقطران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كالتفاوت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2"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(13/168):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وتسكين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وتنوين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(5/428)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(7/133):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وتنوين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</w:footnote>
  <w:footnote w:id="63"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يعقوب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(4/363)،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والقرطبي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(9/385)،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(1/524)،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(2/82)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عكرمة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المحتسب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(1/366)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هريرة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وعلقمة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وعيسى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الهمداني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والربيع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قطر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(3/348)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فنقص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الخطاب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وعكرمة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فنقص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شواذ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خالويه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(70)،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(13/372).</w:t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ويعقوب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يعقوب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الحضرمي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مولاهم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العشرة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البصرة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زمانه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المنذر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ومهدي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ميمون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وجماعة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عبدالمؤمن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والدوري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(1/157)،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(2/386).</w:t>
      </w:r>
    </w:p>
  </w:footnote>
  <w:footnote w:id="64"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(234)،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(3/170)،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(3/395).</w:t>
      </w:r>
    </w:p>
  </w:footnote>
  <w:footnote w:id="65"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6"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(48).</w:t>
      </w:r>
    </w:p>
  </w:footnote>
  <w:footnote w:id="67"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(7).</w:t>
      </w:r>
    </w:p>
  </w:footnote>
  <w:footnote w:id="68"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(3/395).</w:t>
      </w:r>
    </w:p>
  </w:footnote>
  <w:footnote w:id="69"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قائله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صاحب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صاحب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الطيبـي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فتـوح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الغيـب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(607)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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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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ثلاثتها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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خولف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ليؤذن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بالترقي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كونهم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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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فجيء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وغشيان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أكرم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الأعضاء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واستعلاء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العناصر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بالمضارع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استحضار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الفظيعة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مشاهدة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إتيان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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0"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وسرابيلهم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1"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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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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ومفعول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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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(2/775).</w:t>
      </w:r>
    </w:p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(7/132-133).</w:t>
      </w:r>
    </w:p>
  </w:footnote>
  <w:footnote w:id="72"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التعقيب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الطيبـي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يقصد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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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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منقطعان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الرؤية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والأخيرين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دخولها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فكيف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جهنم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خالدون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فأجيب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سرابيلهم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قطران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وأوثر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المضارع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لاستحضار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وتجدد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الغشيان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فحالا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(65/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73"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(7/132).</w:t>
      </w:r>
    </w:p>
  </w:footnote>
  <w:footnote w:id="74"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5"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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مفيدة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للدوام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والاستمرار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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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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مضارع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فتفيد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الاستمرار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التجدد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والحدوث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6"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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(2/775)،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الطيبـي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(607).</w:t>
      </w:r>
    </w:p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معطوفة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مضارع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(7/133).</w:t>
      </w:r>
    </w:p>
  </w:footnote>
  <w:footnote w:id="77"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(13/168)،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والرازي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(19/118)،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(3/395)،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(1/524).</w:t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(1/274)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الكافرة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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متعلق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بقولـه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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تغشى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وجوههم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الجزاء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كسبوا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العموم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العذاب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ليجزي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تستحق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وعقاب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8">
    <w:p w:rsidR="00000000" w:rsidDel="00000000" w:rsidP="00000000" w:rsidRDefault="00000000" w:rsidRPr="00000000" w14:paraId="00000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(42).</w:t>
      </w:r>
    </w:p>
  </w:footnote>
  <w:footnote w:id="79"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(3/395):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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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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(1/524).</w:t>
      </w:r>
    </w:p>
  </w:footnote>
  <w:footnote w:id="80"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(13/169)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(4/363)،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(4/441).</w:t>
      </w:r>
    </w:p>
  </w:footnote>
  <w:footnote w:id="81"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(19/118)،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(1/524)،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ورجحه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الطيبـي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(608)،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(65/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وأقرب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تذكرة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وإنذار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وبلاغ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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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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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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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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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  <w:br w:type="textWrapping"/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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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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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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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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(29).</w:t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(4/441).</w:t>
        <w:tab/>
      </w:r>
    </w:p>
  </w:footnote>
  <w:footnote w:id="82"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الفدلكة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(2/678):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وفرغ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منحوتة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أجمل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الفذلكة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وخلاصته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3">
    <w:p w:rsidR="00000000" w:rsidDel="00000000" w:rsidP="00000000" w:rsidRDefault="00000000" w:rsidRPr="00000000" w14:paraId="00000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(65/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84"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بحذف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لينذروا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</w:footnote>
  <w:footnote w:id="85"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(3/395)،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(1/524).</w:t>
      </w:r>
    </w:p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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تسعة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استوفاها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(7/134).</w:t>
      </w:r>
    </w:p>
  </w:footnote>
  <w:footnote w:id="86"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دعاهم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التوحيد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المكلف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</w:t>
      </w:r>
    </w:p>
    <w:p w:rsidR="00000000" w:rsidDel="00000000" w:rsidP="00000000" w:rsidRDefault="00000000" w:rsidRPr="00000000" w14:paraId="00000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المكلف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المكلف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القصد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لأرباب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المذموم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أئمة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متفقون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يؤمر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الشهادتان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الطحاوية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(23).</w:t>
      </w:r>
    </w:p>
  </w:footnote>
  <w:footnote w:id="87">
    <w:p w:rsidR="00000000" w:rsidDel="00000000" w:rsidP="00000000" w:rsidRDefault="00000000" w:rsidRPr="00000000" w14:paraId="00000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البلاغ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8">
    <w:p w:rsidR="00000000" w:rsidDel="00000000" w:rsidP="00000000" w:rsidRDefault="00000000" w:rsidRPr="00000000" w14:paraId="00000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(1/524).</w:t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الخفاجي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تكميل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بالإنذار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واستكمالهم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والاستصلاح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(5/492).</w:t>
      </w:r>
    </w:p>
  </w:footnote>
  <w:footnote w:id="89">
    <w:p w:rsidR="00000000" w:rsidDel="00000000" w:rsidP="00000000" w:rsidRDefault="00000000" w:rsidRPr="00000000" w14:paraId="00000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وآله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أجمعين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90">
    <w:p w:rsidR="00000000" w:rsidDel="00000000" w:rsidP="00000000" w:rsidRDefault="00000000" w:rsidRPr="00000000" w14:paraId="00000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وطاعته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بدعائه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وشفاعته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النوعان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جائزان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إنكار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المبتدعة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شفاعته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الإقسام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بذاته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بذاته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يفعلونه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الاستسقاء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ونحوه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</w:p>
    <w:p w:rsidR="00000000" w:rsidDel="00000000" w:rsidP="00000000" w:rsidRDefault="00000000" w:rsidRPr="00000000" w14:paraId="00000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الأدعية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المشهورة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أحاديث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ضعيفة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مرفوعة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وموقوفة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أبوحنيفة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وأصحابه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ونهوا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بمخلوق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أسألك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أنبيائك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الفتاوى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(1/202).</w:t>
      </w:r>
    </w:p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أسألك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نوعان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قسما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سؤالا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بسببه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فالقسم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بالمخلوقات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المخلوق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فكيف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0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بالمعظم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كالسؤال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فنقول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أسألك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الملائكة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والأنبياء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والصالحين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بجاه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بحرمة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يقتضي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ويقتضي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اتبعهم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واقتدى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الاقتداء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سعيدا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أطاع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سعيدا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وجاههم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يقتضي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إجابة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دعائه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جاههم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ينفعه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اتبعهم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وأطاعهم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سنوه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وينفعه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دعوا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وشفعوا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شفاعة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يقتضي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الإجابة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متشفعا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بجاههم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سؤاله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بجاههم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نافعا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أجنبي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لنفعه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الفتاوى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(1/210-212).</w:t>
      </w:r>
    </w:p>
    <w:p w:rsidR="00000000" w:rsidDel="00000000" w:rsidP="00000000" w:rsidRDefault="00000000" w:rsidRPr="00000000" w14:paraId="000000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الاستغاثة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(1/287)،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(2/160).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سورة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إبراهيم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single"/>
        <w:shd w:fill="auto" w:val="clear"/>
        <w:vertAlign w:val="baseline"/>
        <w:rtl w:val="1"/>
      </w:rPr>
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8.png"/><Relationship Id="rId22" Type="http://schemas.openxmlformats.org/officeDocument/2006/relationships/image" Target="media/image2.png"/><Relationship Id="rId21" Type="http://schemas.openxmlformats.org/officeDocument/2006/relationships/image" Target="media/image32.png"/><Relationship Id="rId24" Type="http://schemas.openxmlformats.org/officeDocument/2006/relationships/image" Target="media/image6.png"/><Relationship Id="rId23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4.png"/><Relationship Id="rId26" Type="http://schemas.openxmlformats.org/officeDocument/2006/relationships/footer" Target="footer1.xml"/><Relationship Id="rId25" Type="http://schemas.openxmlformats.org/officeDocument/2006/relationships/header" Target="header1.xml"/><Relationship Id="rId27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4.png"/><Relationship Id="rId8" Type="http://schemas.openxmlformats.org/officeDocument/2006/relationships/image" Target="media/image20.png"/><Relationship Id="rId11" Type="http://schemas.openxmlformats.org/officeDocument/2006/relationships/image" Target="media/image14.png"/><Relationship Id="rId10" Type="http://schemas.openxmlformats.org/officeDocument/2006/relationships/image" Target="media/image30.png"/><Relationship Id="rId13" Type="http://schemas.openxmlformats.org/officeDocument/2006/relationships/image" Target="media/image18.png"/><Relationship Id="rId12" Type="http://schemas.openxmlformats.org/officeDocument/2006/relationships/image" Target="media/image12.png"/><Relationship Id="rId15" Type="http://schemas.openxmlformats.org/officeDocument/2006/relationships/image" Target="media/image10.png"/><Relationship Id="rId14" Type="http://schemas.openxmlformats.org/officeDocument/2006/relationships/image" Target="media/image16.png"/><Relationship Id="rId17" Type="http://schemas.openxmlformats.org/officeDocument/2006/relationships/image" Target="media/image36.png"/><Relationship Id="rId16" Type="http://schemas.openxmlformats.org/officeDocument/2006/relationships/image" Target="media/image8.png"/><Relationship Id="rId19" Type="http://schemas.openxmlformats.org/officeDocument/2006/relationships/image" Target="media/image26.png"/><Relationship Id="rId18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