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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ذنبا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طائفة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كتقرير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والمداهنة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وسلوك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وافتراق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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للأمر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اتقوا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تصبكم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تصيبن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تعمكم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فأقيم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لتسببه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للتبعيض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ودخول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المؤكدة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لتضمن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مثله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]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روت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عائشة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سلمة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الصالحون</w:t>
      </w:r>
      <w:r w:rsidDel="00000000" w:rsidR="00000000" w:rsidRPr="00000000">
        <w:rPr>
          <w:vertAlign w:val="baseline"/>
          <w:rtl w:val="1"/>
        </w:rPr>
        <w:t xml:space="preserve">؟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نعم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كثر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الخبث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-520699</wp:posOffset>
                </wp:positionV>
                <wp:extent cx="1127125" cy="377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87200" y="3595850"/>
                          <a:ext cx="1117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-520699</wp:posOffset>
                </wp:positionV>
                <wp:extent cx="1127125" cy="377825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1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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نهيا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مقولا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مستقلا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نهيا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واردا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للفتنة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الوجهين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بيانية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تتعرضوا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للفتنة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فيصيب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عقابها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ووبالها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ظلمكم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-495299</wp:posOffset>
                </wp:positionV>
                <wp:extent cx="1533525" cy="377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84000" y="3595850"/>
                          <a:ext cx="1524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(25، 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-495299</wp:posOffset>
                </wp:positionV>
                <wp:extent cx="1533525" cy="377825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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نمط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الحادث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لتعرفوا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والمخاطبون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المهاجرون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فأعزهم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برسوله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العجب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تقطر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سيوفنا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دمائهم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غنائمنا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فبلغ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فجمعهم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حديث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بلغني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عنكم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 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بلغك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ألم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تكونوا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فقراء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فأغناكم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</w:t>
      </w:r>
      <w:r w:rsidDel="00000000" w:rsidR="00000000" w:rsidRPr="00000000">
        <w:rPr>
          <w:b w:val="1"/>
          <w:vertAlign w:val="baseline"/>
          <w:rtl w:val="1"/>
        </w:rPr>
        <w:t xml:space="preserve">؟ </w:t>
      </w:r>
      <w:r w:rsidDel="00000000" w:rsidR="00000000" w:rsidRPr="00000000">
        <w:rPr>
          <w:b w:val="1"/>
          <w:vertAlign w:val="baseline"/>
          <w:rtl w:val="1"/>
        </w:rPr>
        <w:t xml:space="preserve">ألم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تكونوا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ضلالا</w:t>
      </w:r>
      <w:r w:rsidDel="00000000" w:rsidR="00000000" w:rsidRPr="00000000">
        <w:rPr>
          <w:b w:val="1"/>
          <w:vertAlign w:val="baseline"/>
          <w:rtl w:val="1"/>
        </w:rPr>
        <w:t xml:space="preserve">ً </w:t>
      </w:r>
      <w:r w:rsidDel="00000000" w:rsidR="00000000" w:rsidRPr="00000000">
        <w:rPr>
          <w:b w:val="1"/>
          <w:vertAlign w:val="baseline"/>
          <w:rtl w:val="1"/>
        </w:rPr>
        <w:t xml:space="preserve">فهداكم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 </w:t>
      </w:r>
      <w:r w:rsidDel="00000000" w:rsidR="00000000" w:rsidRPr="00000000">
        <w:rPr>
          <w:vertAlign w:val="baseline"/>
          <w:rtl w:val="1"/>
        </w:rPr>
        <w:t xml:space="preserve">فكلما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ورسوله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ُّ"،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والل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لأعطي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رجالا</w:t>
      </w:r>
      <w:r w:rsidDel="00000000" w:rsidR="00000000" w:rsidRPr="00000000">
        <w:rPr>
          <w:b w:val="1"/>
          <w:vertAlign w:val="baseline"/>
          <w:rtl w:val="1"/>
        </w:rPr>
        <w:t xml:space="preserve">ً </w:t>
      </w:r>
      <w:r w:rsidDel="00000000" w:rsidR="00000000" w:rsidRPr="00000000">
        <w:rPr>
          <w:b w:val="1"/>
          <w:vertAlign w:val="baseline"/>
          <w:rtl w:val="1"/>
        </w:rPr>
        <w:t xml:space="preserve">أتألفهم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الإسلام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أما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ترضون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يذهب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الناس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بالدنيا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وتذهبون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برسول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فيكم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المحيا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وفيكم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الممات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-1663699</wp:posOffset>
                </wp:positionV>
                <wp:extent cx="1076325" cy="3778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12600" y="3595850"/>
                          <a:ext cx="10668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-1663699</wp:posOffset>
                </wp:positionV>
                <wp:extent cx="1076325" cy="377825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مضادين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لقريش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-1206499</wp:posOffset>
                </wp:positionH>
                <wp:positionV relativeFrom="paragraph">
                  <wp:posOffset>-533399</wp:posOffset>
                </wp:positionV>
                <wp:extent cx="1076325" cy="377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12600" y="3595850"/>
                          <a:ext cx="10668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-1206499</wp:posOffset>
                </wp:positionH>
                <wp:positionV relativeFrom="paragraph">
                  <wp:posOffset>-533399</wp:posOffset>
                </wp:positionV>
                <wp:extent cx="1076325" cy="377825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والتخطف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الاختلاس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بالسرعة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مأوى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بمظاهرة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بإحلال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الغنائم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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-507999</wp:posOffset>
                </wp:positionV>
                <wp:extent cx="1533525" cy="3778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584000" y="3595850"/>
                          <a:ext cx="1524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(26، 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-507999</wp:posOffset>
                </wp:positionV>
                <wp:extent cx="1533525" cy="37782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بتعطيل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فرائض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النقص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خائنة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يتخوننا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بالموعظة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السآمة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زهير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...........................</w:t>
        <w:tab/>
        <w:tab/>
        <w:tab/>
        <w:t xml:space="preserve">........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-482599</wp:posOffset>
                </wp:positionV>
                <wp:extent cx="1050925" cy="377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25300" y="3595850"/>
                          <a:ext cx="10414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-482599</wp:posOffset>
                </wp:positionV>
                <wp:extent cx="1050925" cy="377825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9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حاصر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قريظة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فسألوه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إخوانهم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النضير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ويجليهم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إخوانهم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فأبى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معاذ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نرضى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بحكمه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وننزل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فرضي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مناصحا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الذبح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أبولبابة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قدماي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ورسوله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فندم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بسارية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أذوق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طعاما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َّ" </w:t>
      </w:r>
      <w:r w:rsidDel="00000000" w:rsidR="00000000" w:rsidRPr="00000000">
        <w:rPr>
          <w:vertAlign w:val="baseline"/>
          <w:rtl w:val="1"/>
        </w:rPr>
        <w:t xml:space="preserve">فمكث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مغشيا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نفسك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يحلها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توبتي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الذنب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مالي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: « </w:t>
      </w:r>
      <w:r w:rsidDel="00000000" w:rsidR="00000000" w:rsidRPr="00000000">
        <w:rPr>
          <w:b w:val="1"/>
          <w:vertAlign w:val="baseline"/>
          <w:rtl w:val="1"/>
        </w:rPr>
        <w:t xml:space="preserve">يجزيك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الثلث</w:t>
      </w:r>
      <w:r w:rsidDel="00000000" w:rsidR="00000000" w:rsidRPr="00000000">
        <w:rPr>
          <w:vertAlign w:val="baseline"/>
          <w:rtl w:val="0"/>
        </w:rPr>
        <w:t xml:space="preserve"> »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-1244599</wp:posOffset>
                </wp:positionH>
                <wp:positionV relativeFrom="paragraph">
                  <wp:posOffset>-520699</wp:posOffset>
                </wp:positionV>
                <wp:extent cx="1050925" cy="377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25300" y="3595850"/>
                          <a:ext cx="10414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-1244599</wp:posOffset>
                </wp:positionH>
                <wp:positionV relativeFrom="paragraph">
                  <wp:posOffset>-520699</wp:posOffset>
                </wp:positionV>
                <wp:extent cx="1050925" cy="377825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9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مجزوم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منصوب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بتقدير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]</w:t>
      </w:r>
      <w:r w:rsidDel="00000000" w:rsidR="00000000" w:rsidRPr="00000000">
        <w:rPr>
          <w:b w:val="1"/>
          <w:vertAlign w:val="baseline"/>
          <w:rtl w:val="0"/>
        </w:rPr>
        <w:t xml:space="preserve">َ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-838199</wp:posOffset>
                </wp:positionV>
                <wp:extent cx="1495425" cy="377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03050" y="3595850"/>
                          <a:ext cx="1485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(27، 28)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-838199</wp:posOffset>
                </wp:positionV>
                <wp:extent cx="1495425" cy="3778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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قبح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الخيانة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عامدين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السهو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وقبحها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تختبرون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يحملنكم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الخيانة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لعمومها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أبولبابة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وأمواله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قريظة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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بمقداره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تفوتوه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الفانية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-888999</wp:posOffset>
                </wp:positionV>
                <wp:extent cx="1495425" cy="377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03050" y="3595850"/>
                          <a:ext cx="1485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(28، 29)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-888999</wp:posOffset>
                </wp:positionV>
                <wp:extent cx="1495425" cy="377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[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كالحلوان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والعنوان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والمبطل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سمي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الاشتباه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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السيئات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  <w:br w:type="textWrapping"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يتجاوز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ذنوبكم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الصغائر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الكبائر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تائب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والتوبة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الكبائر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-1269999</wp:posOffset>
                </wp:positionV>
                <wp:extent cx="1063625" cy="37782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-1269999</wp:posOffset>
                </wp:positionV>
                <wp:extent cx="1063625" cy="377825"/>
                <wp:effectExtent b="0" l="0" r="0" t="0"/>
                <wp:wrapNone/>
                <wp:docPr id="51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اطلع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افعلوا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بعد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اليوم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شئتم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حرج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-863599</wp:posOffset>
                </wp:positionV>
                <wp:extent cx="1063625" cy="37782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-863599</wp:posOffset>
                </wp:positionV>
                <wp:extent cx="1063625" cy="377825"/>
                <wp:effectExtent b="0" l="0" r="0" t="0"/>
                <wp:wrapNone/>
                <wp:docPr id="47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بفضله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يبدل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سيئات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التائب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تفضل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مقابلة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بطاعته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والمسارعة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أوامره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ذك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ليتوفر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بشكرها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ْ: </w:t>
      </w:r>
      <w:r w:rsidDel="00000000" w:rsidR="00000000" w:rsidRPr="00000000">
        <w:rPr>
          <w:vertAlign w:val="baseline"/>
          <w:rtl w:val="1"/>
        </w:rPr>
        <w:t xml:space="preserve">اذكر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الوقت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حادثة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الوقت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-876299</wp:posOffset>
                </wp:positionV>
                <wp:extent cx="1520825" cy="37782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4590350" y="3595850"/>
                          <a:ext cx="1511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(29، 30)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-876299</wp:posOffset>
                </wp:positionV>
                <wp:extent cx="1520825" cy="377825"/>
                <wp:effectExtent b="0" l="0" r="0" t="0"/>
                <wp:wrapNone/>
                <wp:docPr id="48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-736599</wp:posOffset>
                </wp:positionH>
                <wp:positionV relativeFrom="paragraph">
                  <wp:posOffset>-380999</wp:posOffset>
                </wp:positionV>
                <wp:extent cx="581660" cy="32194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059933" y="3623790"/>
                          <a:ext cx="57213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109/أ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-736599</wp:posOffset>
                </wp:positionH>
                <wp:positionV relativeFrom="paragraph">
                  <wp:posOffset>-380999</wp:posOffset>
                </wp:positionV>
                <wp:extent cx="581660" cy="321945"/>
                <wp:effectExtent b="0" l="0" r="0" t="0"/>
                <wp:wrapNone/>
                <wp:docPr id="49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60" cy="32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أبوطالب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وهاجر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وبايعه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وأسلموا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فشق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وخافوا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تفاقم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اجتمعوا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الندوة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للمؤامرة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بأمركم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فدخلت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تعدموا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نصحا</w:t>
      </w:r>
      <w:r w:rsidDel="00000000" w:rsidR="00000000" w:rsidRPr="00000000">
        <w:rPr>
          <w:vertAlign w:val="baseline"/>
          <w:rtl w:val="1"/>
        </w:rPr>
        <w:t xml:space="preserve">ً"، </w:t>
      </w:r>
      <w:r w:rsidDel="00000000" w:rsidR="00000000" w:rsidRPr="00000000">
        <w:rPr>
          <w:vertAlign w:val="baseline"/>
          <w:rtl w:val="1"/>
        </w:rPr>
        <w:t xml:space="preserve">فرضوا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وشرعوا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أبوالب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تحبسوه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وتشدوا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وثاقه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وتلقوا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طعامه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وشرابه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وتتربصوا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المنون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إبليس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تأمنوا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يقاتلكم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ويخل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تحملوه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وتخرجوه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أظهركم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وتستريحوا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إبليس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تأمنوا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يفسد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ويقاتلكم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أبوجهل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تأخذوا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وتعطوه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فيضربوه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فيتفرق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القبائل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بنوهاشم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عقلناه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إبليس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أجودكم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رأيا</w:t>
      </w:r>
      <w:r w:rsidDel="00000000" w:rsidR="00000000" w:rsidRPr="00000000">
        <w:rPr>
          <w:vertAlign w:val="baseline"/>
          <w:rtl w:val="1"/>
        </w:rPr>
        <w:t xml:space="preserve">ً". </w:t>
      </w:r>
      <w:r w:rsidDel="00000000" w:rsidR="00000000" w:rsidRPr="00000000">
        <w:rPr>
          <w:vertAlign w:val="baseline"/>
          <w:rtl w:val="1"/>
        </w:rPr>
        <w:t xml:space="preserve">فتفرقوا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بالخروج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مضجعه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-- </w:t>
      </w:r>
      <w:r w:rsidDel="00000000" w:rsidR="00000000" w:rsidRPr="00000000">
        <w:rPr>
          <w:vertAlign w:val="baseline"/>
          <w:rtl w:val="1"/>
        </w:rPr>
        <w:t xml:space="preserve">بالبيتوتة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اتش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ببردتي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83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يخلص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إليك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شر</w:t>
      </w:r>
      <w:r w:rsidDel="00000000" w:rsidR="00000000" w:rsidRPr="00000000">
        <w:rPr>
          <w:b w:val="1"/>
          <w:vertAlign w:val="baseline"/>
          <w:rtl w:val="1"/>
        </w:rPr>
        <w:t xml:space="preserve">ٌّ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وخرج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مهاجرا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والقوم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مترصدين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أصبحوا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اقتفوا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فأعمى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أبصارهم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لبثا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الخروج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وصعدوا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أبوبكر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أرجلهم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لرأونا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: «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ظنك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بكر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باثنين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ثالثهما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--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بالصديق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اضطرابا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الغار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ساحله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50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37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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بالحبس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والوثاق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الإثخان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بالجراح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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بالسيوف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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هائما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وجهك</w:t>
      </w:r>
      <w:r w:rsidDel="00000000" w:rsidR="00000000" w:rsidRPr="00000000">
        <w:rPr>
          <w:vertAlign w:val="baseline"/>
          <w:rtl w:val="1"/>
        </w:rPr>
        <w:t xml:space="preserve">، ]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ويخفون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ماكرين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</w:t>
      </w:r>
      <w:r w:rsidDel="00000000" w:rsidR="00000000" w:rsidRPr="00000000">
        <w:rPr>
          <w:vertAlign w:val="baseline"/>
          <w:rtl w:val="1"/>
        </w:rPr>
        <w:t xml:space="preserve"> ]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يعاملهم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يشعرون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اجترؤا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بالملائكة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-1625599</wp:posOffset>
                </wp:positionV>
                <wp:extent cx="1063625" cy="3778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-1625599</wp:posOffset>
                </wp:positionV>
                <wp:extent cx="1063625" cy="377825"/>
                <wp:effectExtent b="0" l="0" r="0" t="0"/>
                <wp:wrapNone/>
                <wp:docPr id="38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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لمكرهم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وإطلاق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المشاكلة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والازدواج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-863599</wp:posOffset>
                </wp:positionV>
                <wp:extent cx="1431925" cy="3778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634800" y="3595850"/>
                          <a:ext cx="14224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(30، 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-863599</wp:posOffset>
                </wp:positionV>
                <wp:extent cx="1431925" cy="377825"/>
                <wp:effectExtent b="0" l="0" r="0" t="0"/>
                <wp:wrapNone/>
                <wp:docPr id="39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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 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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جهل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......................... .....</w:t>
      </w:r>
      <w:r w:rsidDel="00000000" w:rsidR="00000000" w:rsidRPr="00000000">
        <w:rPr>
          <w:vertAlign w:val="baseline"/>
          <w:rtl w:val="1"/>
        </w:rPr>
        <w:t xml:space="preserve">نضر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الحارث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بأكاذيب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واسفنديار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الأكاذيب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ويزعم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فأ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الزبير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عنقه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40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بالبينات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عنادهم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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نقلت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-838199</wp:posOffset>
                </wp:positionV>
                <wp:extent cx="1482725" cy="3778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609400" y="3595850"/>
                          <a:ext cx="14732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(31، 32)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-838199</wp:posOffset>
                </wp:positionV>
                <wp:extent cx="1482725" cy="377825"/>
                <wp:effectExtent b="0" l="0" r="0" t="0"/>
                <wp:wrapNone/>
                <wp:docPr id="36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يزعمه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 ] 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أنزلتها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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يريدون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يدعيه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افتراء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قاطعون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يزعمه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الحجارة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مستحقون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بإنكارنا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بليغ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الإنكار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مآله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التعليق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بالمحال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فوا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يدعيه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ينكرون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مطلقا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لقولهم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أساطير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اليمن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فأمطر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حجارة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-2705099</wp:posOffset>
                </wp:positionV>
                <wp:extent cx="1063625" cy="3778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-2705099</wp:posOffset>
                </wp:positionV>
                <wp:extent cx="1063625" cy="377825"/>
                <wp:effectExtent b="0" l="0" r="0" t="0"/>
                <wp:wrapNone/>
                <wp:docPr id="45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تكامل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أظهرهم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لشرفهم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ومكانتهم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أحسوا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يتوسلون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بالأولياء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والصالحين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يستحقون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تشاوروا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وجودك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أظهرهم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46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 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خروجك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والمستغفرون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الخروج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والهجرة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-1257299</wp:posOffset>
                </wp:positionV>
                <wp:extent cx="1063625" cy="3778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-1257299</wp:posOffset>
                </wp:positionV>
                <wp:extent cx="1063625" cy="377825"/>
                <wp:effectExtent b="0" l="0" r="0" t="0"/>
                <wp:wrapNone/>
                <wp:docPr id="41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استغفار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المستضعفين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بالتوفيق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يلائمه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vertAlign w:val="superscript"/>
          <w:rtl w:val="0"/>
        </w:rPr>
        <w:t xml:space="preserve"> (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استغفروا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خروجك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عذبوا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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-507999</wp:posOffset>
                </wp:positionV>
                <wp:extent cx="1508125" cy="3778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596700" y="3595850"/>
                          <a:ext cx="1498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(33، 34)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-507999</wp:posOffset>
                </wp:positionV>
                <wp:extent cx="1508125" cy="377825"/>
                <wp:effectExtent b="0" l="0" r="0" t="0"/>
                <wp:wrapNone/>
                <wp:docPr id="42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والمؤمنين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جناياتهم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يعترفون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ارتكبوه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أولياء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المسجد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ٌّ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يقولونه</w:t>
      </w:r>
      <w:r w:rsidDel="00000000" w:rsidR="00000000" w:rsidRPr="00000000">
        <w:rPr>
          <w:vertAlign w:val="baseline"/>
          <w:rtl w:val="1"/>
        </w:rPr>
        <w:t xml:space="preserve">/ [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شئنا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شئنا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الحجيج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ونفك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ونطعم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الجائع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-2184399</wp:posOffset>
                </wp:positionH>
                <wp:positionV relativeFrom="paragraph">
                  <wp:posOffset>25400</wp:posOffset>
                </wp:positionV>
                <wp:extent cx="711200" cy="38163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995163" y="3593945"/>
                          <a:ext cx="70167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109/ب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-2184399</wp:posOffset>
                </wp:positionH>
                <wp:positionV relativeFrom="paragraph">
                  <wp:posOffset>25400</wp:posOffset>
                </wp:positionV>
                <wp:extent cx="711200" cy="381635"/>
                <wp:effectExtent b="0" l="0" r="0" t="0"/>
                <wp:wrapNone/>
                <wp:docPr id="43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381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لولاية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المكارم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.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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يتمسكون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والقيد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يعاند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المعدوم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-1625599</wp:posOffset>
                </wp:positionV>
                <wp:extent cx="1495425" cy="3778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603050" y="3595850"/>
                          <a:ext cx="1485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(34، 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-1625599</wp:posOffset>
                </wp:positionV>
                <wp:extent cx="1495425" cy="377825"/>
                <wp:effectExtent b="0" l="0" r="0" t="0"/>
                <wp:wrapNone/>
                <wp:docPr id="44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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ممدودا</w:t>
      </w:r>
      <w:r w:rsidDel="00000000" w:rsidR="00000000" w:rsidRPr="00000000">
        <w:rPr>
          <w:vertAlign w:val="baseline"/>
          <w:rtl w:val="1"/>
        </w:rPr>
        <w:t xml:space="preserve">ً-: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طائر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والتصدية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التصفيق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استحقاقهم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لولاية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لعبادة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وذكره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يطوفون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مشبكين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أصابعهم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الرجال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يصفرون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ويصفقون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لوضعهم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الدعاء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-1612899</wp:posOffset>
                </wp:positionV>
                <wp:extent cx="1063625" cy="3778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-1612899</wp:posOffset>
                </wp:positionV>
                <wp:extent cx="1063625" cy="377825"/>
                <wp:effectExtent b="0" l="0" r="0" t="0"/>
                <wp:wrapNone/>
                <wp:docPr id="2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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استمراركم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-850899</wp:posOffset>
                </wp:positionV>
                <wp:extent cx="1495425" cy="3778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603050" y="3595850"/>
                          <a:ext cx="1485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(35، 36)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-850899</wp:posOffset>
                </wp:positionV>
                <wp:extent cx="1495425" cy="377825"/>
                <wp:effectExtent b="0" l="0" r="0" t="0"/>
                <wp:wrapNone/>
                <wp:docPr id="26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طريقه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المطعمين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يطعمون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الأحابيش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استأجر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بأربعين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أوقية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أوقية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وزنها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وأربعون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مثقالا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تشاوروا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الثأر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والتزم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يصرفه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وتهيئة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-863599</wp:posOffset>
                </wp:positionV>
                <wp:extent cx="1063625" cy="3778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-863599</wp:posOffset>
                </wp:positionV>
                <wp:extent cx="1063625" cy="377825"/>
                <wp:effectExtent b="0" l="0" r="0" t="0"/>
                <wp:wrapNone/>
                <wp:docPr id="27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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اتفاقهم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ودعوة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إخبار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سينفقون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الفائدة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فراقها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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العاقبة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للمتقين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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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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الكافر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br w:type="textWrapping"/>
        <w:t xml:space="preserve">]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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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والتشديد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والزيادة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منضما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السحاب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المتراكب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الخبيث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كله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التأكيد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المتعارف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الملوك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يسامحون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 ]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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ران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-2387599</wp:posOffset>
                </wp:positionV>
                <wp:extent cx="1558925" cy="3778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571300" y="3595850"/>
                          <a:ext cx="15494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(36، 37)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-2387599</wp:posOffset>
                </wp:positionV>
                <wp:extent cx="1558925" cy="377825"/>
                <wp:effectExtent b="0" l="0" r="0" t="0"/>
                <wp:wrapNone/>
                <wp:docPr id="28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9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وحقهم</w:t>
      </w:r>
      <w:r w:rsidDel="00000000" w:rsidR="00000000" w:rsidRPr="00000000">
        <w:rPr>
          <w:vertAlign w:val="baseline"/>
          <w:rtl w:val="1"/>
        </w:rPr>
        <w:t xml:space="preserve"> ]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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ذنب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عمومه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الحربي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فيسقط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-3174999</wp:posOffset>
                </wp:positionV>
                <wp:extent cx="1508125" cy="3778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596700" y="3595850"/>
                          <a:ext cx="1498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(37، 38)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-3174999</wp:posOffset>
                </wp:positionV>
                <wp:extent cx="1508125" cy="377825"/>
                <wp:effectExtent b="0" l="0" r="0" t="0"/>
                <wp:wrapNone/>
                <wp:docPr id="33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استمروا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يعودوا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ومشاقة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-1282699</wp:posOffset>
                </wp:positionV>
                <wp:extent cx="1063625" cy="3778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(38)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-1282699</wp:posOffset>
                </wp:positionV>
                <wp:extent cx="1063625" cy="377825"/>
                <wp:effectExtent b="0" l="0" r="0" t="0"/>
                <wp:wrapNone/>
                <wp:docPr id="34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widowControl w:val="0"/>
        <w:bidi w:val="1"/>
        <w:ind w:left="72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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الدارجين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-444499</wp:posOffset>
                </wp:positionV>
                <wp:extent cx="1889125" cy="3778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406200" y="3595850"/>
                          <a:ext cx="1879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الآيات رقم (38، 39، 40)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-444499</wp:posOffset>
                </wp:positionV>
                <wp:extent cx="1889125" cy="377825"/>
                <wp:effectExtent b="0" l="0" r="0" t="0"/>
                <wp:wrapNone/>
                <wp:docPr id="35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91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ينتهوا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شرك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وضلال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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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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يجازيهم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عملوا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وأعرضوا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الاستمرار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ناصركم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المنعم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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الناصر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يغلب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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غنائم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أمرها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قانونا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يمشون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اعلموا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مقرونا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غنمتموه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حقيرا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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فثابت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2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ْ: </w:t>
      </w:r>
      <w:r w:rsidDel="00000000" w:rsidR="00000000" w:rsidRPr="00000000">
        <w:rPr>
          <w:vertAlign w:val="baseline"/>
          <w:rtl w:val="1"/>
        </w:rPr>
        <w:t xml:space="preserve">تقسم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أخماس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الخمسة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للتوطئة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متقربا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الأخصين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سادس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المذاهب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حصره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اليتامى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والمساكين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السبيل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اتصفوا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الثلاثة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3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الأخماس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فسهمه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راع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للجهاد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يستوي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الأنثيين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وذوو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قرابته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هاشم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نوفل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شمس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هاشم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ونوفل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وعبد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عبدمناف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هاشم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المطلب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عفان</w:t>
      </w:r>
      <w:r w:rsidDel="00000000" w:rsidR="00000000" w:rsidRPr="00000000">
        <w:rPr>
          <w:vertAlign w:val="baseline"/>
          <w:rtl w:val="1"/>
        </w:rPr>
        <w:t xml:space="preserve"> --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عبشميا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نوفليا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هاشم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لمكانك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بمنزلة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أعطيتهم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دوننا</w:t>
      </w:r>
      <w:r w:rsidDel="00000000" w:rsidR="00000000" w:rsidRPr="00000000">
        <w:rPr>
          <w:vertAlign w:val="baseline"/>
          <w:rtl w:val="1"/>
        </w:rPr>
        <w:t xml:space="preserve">؟" </w:t>
      </w:r>
      <w:r w:rsidDel="00000000" w:rsidR="00000000" w:rsidRPr="00000000">
        <w:rPr>
          <w:vertAlign w:val="baseline"/>
          <w:rtl w:val="1"/>
        </w:rPr>
        <w:t xml:space="preserve">فشب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نحن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183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وبنوالمطلب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هكذا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يفارقونا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جاهلية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إسلام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تعاضدوا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معاداة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هاشم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المطلب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يناكحوهم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وكتبوا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وعلقوها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فوافقهم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نوفل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-1244599</wp:posOffset>
                </wp:positionH>
                <wp:positionV relativeFrom="paragraph">
                  <wp:posOffset>-888999</wp:posOffset>
                </wp:positionV>
                <wp:extent cx="1063625" cy="3778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-1244599</wp:posOffset>
                </wp:positionH>
                <wp:positionV relativeFrom="paragraph">
                  <wp:posOffset>-888999</wp:posOffset>
                </wp:positionV>
                <wp:extent cx="1063625" cy="377825"/>
                <wp:effectExtent b="0" l="0" r="0" t="0"/>
                <wp:wrapNone/>
                <wp:docPr id="31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-774699</wp:posOffset>
                </wp:positionH>
                <wp:positionV relativeFrom="paragraph">
                  <wp:posOffset>457200</wp:posOffset>
                </wp:positionV>
                <wp:extent cx="543560" cy="3048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078983" y="3632363"/>
                          <a:ext cx="53403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110/أ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-774699</wp:posOffset>
                </wp:positionH>
                <wp:positionV relativeFrom="paragraph">
                  <wp:posOffset>457200</wp:posOffset>
                </wp:positionV>
                <wp:extent cx="543560" cy="304800"/>
                <wp:effectExtent b="0" l="0" r="0" t="0"/>
                <wp:wrapNone/>
                <wp:docPr id="32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56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[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فاعلموا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غنمتم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لكذا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والإمداد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بالملائكة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أنزلناه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وجعلنا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مفوضا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والباطل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للتوضيح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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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شرذمة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بالملائكة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-520699</wp:posOffset>
                </wp:positionV>
                <wp:extent cx="1495425" cy="3778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603050" y="3595850"/>
                          <a:ext cx="1485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(41، 42)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-520699</wp:posOffset>
                </wp:positionV>
                <wp:extent cx="1495425" cy="377825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القربى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بالضم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شاطيء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الوادي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الحجاز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منصوب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باذكر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والقياس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القصيا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كالعليا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والصفة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كالقود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واستحوذ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  <w:br w:type="textWrapping"/>
        <w:t xml:space="preserve">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الساحل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-1257299</wp:posOffset>
                </wp:positionV>
                <wp:extent cx="1063625" cy="3778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-1257299</wp:posOffset>
                </wp:positionV>
                <wp:extent cx="1063625" cy="377825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والمشركون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الهيئة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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-1231899</wp:posOffset>
                </wp:positionV>
                <wp:extent cx="1063625" cy="3778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-1231899</wp:posOffset>
                </wp:positionV>
                <wp:extent cx="1063625" cy="377825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مفصلا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بأسفل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تذكيرا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وتصويرا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للواقعة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للانتصار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أرضا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تسوخ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الأقدام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والقصوى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طيبة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أسفل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جأش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ويشجعهم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بإيصال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مصارفها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الوقائع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بالسامعين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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وإعزاز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بمحذوف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دبر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دبر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الطائفتين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والمجرور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واضحة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مكابرته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يشوبه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شائبة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اليقين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مستعارين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مشاهدة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ويعيش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معاينتها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البزي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وأبوبكر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عاصم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الإدغام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بالإدغام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2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أقوالكم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بنياتكم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والاعتقاد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-507999</wp:posOffset>
                </wp:positionV>
                <wp:extent cx="1508125" cy="3778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596700" y="3595850"/>
                          <a:ext cx="1498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(42، 43)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-507999</wp:posOffset>
                </wp:positionV>
                <wp:extent cx="1508125" cy="377825"/>
                <wp:effectExtent b="0" l="0" r="0" t="0"/>
                <wp:wrapNone/>
                <wp:docPr id="24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218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رآهم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شرذمة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مشجعا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ذاهبا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برجز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الشيطان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رآهم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باذكر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baseline"/>
          <w:rtl w:val="1"/>
        </w:rPr>
        <w:t xml:space="preserve">.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جبنتـم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وخفقـت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قلوبكـم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ويحجم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وتفرقت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كلمتكم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الفشل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والتنازع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بإراءتكم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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بمضمراتها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ستكون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مطابقا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ومصدقا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لرؤياه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الضميران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الإراءة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-1257299</wp:posOffset>
                </wp:positionH>
                <wp:positionV relativeFrom="paragraph">
                  <wp:posOffset>-469899</wp:posOffset>
                </wp:positionV>
                <wp:extent cx="1063625" cy="377825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أعيننا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أتراهم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سبعين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أراهم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مائة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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قائل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وأصحابه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جزور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ودأبهم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مائة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التلاقي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تلاقوا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وإمداده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بالملائكة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الإدراكات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وبالعكس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widowControl w:val="0"/>
        <w:bidi w:val="1"/>
        <w:ind w:left="72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كرره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  <w:br w:type="textWrapping"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فيصدرها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يشاء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-1155699</wp:posOffset>
                </wp:positionV>
                <wp:extent cx="1571625" cy="3778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564950" y="3595850"/>
                          <a:ext cx="1562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(44، 45)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-1155699</wp:posOffset>
                </wp:positionV>
                <wp:extent cx="1571625" cy="377825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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جماعة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بغاة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لقولـه</w:t>
      </w:r>
      <w:r w:rsidDel="00000000" w:rsidR="00000000" w:rsidRPr="00000000">
        <w:rPr>
          <w:vertAlign w:val="baseline"/>
          <w:rtl w:val="1"/>
        </w:rPr>
        <w:t xml:space="preserve">:]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superscript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:] 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4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2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واللقاء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اشتهر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b w:val="1"/>
          <w:vertAlign w:val="baseline"/>
          <w:rtl w:val="0"/>
        </w:rPr>
        <w:t xml:space="preserve">/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247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ذكرا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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تظفرون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بالنصر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-850899</wp:posOffset>
                </wp:positionH>
                <wp:positionV relativeFrom="paragraph">
                  <wp:posOffset>38100</wp:posOffset>
                </wp:positionV>
                <wp:extent cx="591185" cy="34353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055170" y="3612995"/>
                          <a:ext cx="5816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110/ب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-850899</wp:posOffset>
                </wp:positionH>
                <wp:positionV relativeFrom="paragraph">
                  <wp:posOffset>38100</wp:posOffset>
                </wp:positionV>
                <wp:extent cx="591185" cy="343535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85" cy="343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: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تتمنوا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لقاء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العدو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لاقيتم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فاصبروا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واعلموا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الجنة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تحت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ظلال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السيوف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»،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اللهم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منـزل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الكتاب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ومجري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السحاب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وهازم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الأحزاب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اهزمهم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وانصرنا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عليهم</w:t>
      </w:r>
      <w:r w:rsidDel="00000000" w:rsidR="00000000" w:rsidRPr="00000000">
        <w:rPr>
          <w:b w:val="1"/>
          <w:vertAlign w:val="baseline"/>
          <w:rtl w:val="1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-1142999</wp:posOffset>
                </wp:positionV>
                <wp:extent cx="1063625" cy="3778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-1142999</wp:posOffset>
                </wp:positionV>
                <wp:extent cx="1063625" cy="377825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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مواطن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وفيكم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ينبغي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عندي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التنازع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الفشل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الجبن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مجزوم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منصوب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بإضمار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، ]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دولتكم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ونصركم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مستعار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لهما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والنفوذ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الهبوب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النصـر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ولذلـك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قـال</w:t>
      </w:r>
      <w:r w:rsidDel="00000000" w:rsidR="00000000" w:rsidRPr="00000000">
        <w:rPr>
          <w:vertAlign w:val="baseline"/>
          <w:rtl w:val="1"/>
        </w:rPr>
        <w:t xml:space="preserve"> : « </w:t>
      </w:r>
      <w:r w:rsidDel="00000000" w:rsidR="00000000" w:rsidRPr="00000000">
        <w:rPr>
          <w:b w:val="1"/>
          <w:vertAlign w:val="baseline"/>
          <w:rtl w:val="1"/>
        </w:rPr>
        <w:t xml:space="preserve">ن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صـرت</w:t>
      </w:r>
      <w:r w:rsidDel="00000000" w:rsidR="00000000" w:rsidRPr="00000000">
        <w:rPr>
          <w:b w:val="1"/>
          <w:vertAlign w:val="baseline"/>
          <w:rtl w:val="1"/>
        </w:rPr>
        <w:t xml:space="preserve">ُ </w:t>
      </w:r>
      <w:r w:rsidDel="00000000" w:rsidR="00000000" w:rsidRPr="00000000">
        <w:rPr>
          <w:b w:val="1"/>
          <w:vertAlign w:val="baseline"/>
          <w:rtl w:val="1"/>
        </w:rPr>
        <w:t xml:space="preserve">بالص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ـب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وأ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هل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كت</w:t>
      </w:r>
      <w:r w:rsidDel="00000000" w:rsidR="00000000" w:rsidRPr="00000000">
        <w:rPr>
          <w:b w:val="1"/>
          <w:vertAlign w:val="baseline"/>
          <w:rtl w:val="1"/>
        </w:rPr>
        <w:t xml:space="preserve">ْ </w:t>
      </w:r>
      <w:r w:rsidDel="00000000" w:rsidR="00000000" w:rsidRPr="00000000">
        <w:rPr>
          <w:b w:val="1"/>
          <w:vertAlign w:val="baseline"/>
          <w:rtl w:val="1"/>
        </w:rPr>
        <w:t xml:space="preserve">عاد</w:t>
      </w:r>
      <w:r w:rsidDel="00000000" w:rsidR="00000000" w:rsidRPr="00000000">
        <w:rPr>
          <w:b w:val="1"/>
          <w:vertAlign w:val="baseline"/>
          <w:rtl w:val="1"/>
        </w:rPr>
        <w:t xml:space="preserve">ٌ </w:t>
      </w:r>
      <w:r w:rsidDel="00000000" w:rsidR="00000000" w:rsidRPr="00000000">
        <w:rPr>
          <w:b w:val="1"/>
          <w:vertAlign w:val="baseline"/>
          <w:rtl w:val="1"/>
        </w:rPr>
        <w:t xml:space="preserve">بالد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-1231899</wp:posOffset>
                </wp:positionV>
                <wp:extent cx="1495425" cy="3778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603050" y="3595850"/>
                          <a:ext cx="1485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(45، 46)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-1231899</wp:posOffset>
                </wp:positionV>
                <wp:extent cx="1495425" cy="377825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كرره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ليفيده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بقولـه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بالحفظ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والنصر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sectPr>
      <w:headerReference r:id="rId58" w:type="default"/>
      <w:footerReference r:id="rId59" w:type="default"/>
      <w:footerReference r:id="rId60" w:type="even"/>
      <w:pgSz w:h="16834" w:w="11907"/>
      <w:pgMar w:bottom="1701" w:top="1985" w:left="1985" w:right="1985" w:header="1134" w:footer="851"/>
      <w:pgNumType w:start="1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92"/>
        <w:szCs w:val="9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(1/407).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(4/478).</w:t>
      </w:r>
    </w:p>
  </w:footnote>
  <w:footnote w:id="1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(18).</w:t>
      </w:r>
    </w:p>
  </w:footnote>
  <w:footnote w:id="2"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الصايحون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"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(6/347).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بعذاب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26638).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يأجوج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ومأجوج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وأشراط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اقتراب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يأجوج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ومأجوج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(4/2207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1-2)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جحش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</w:footnote>
  <w:footnote w:id="7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(4/477)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(5/589).</w:t>
      </w:r>
    </w:p>
  </w:footnote>
  <w:footnote w:id="9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(2).</w:t>
      </w:r>
    </w:p>
  </w:footnote>
  <w:footnote w:id="10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(1/380).</w:t>
      </w:r>
    </w:p>
  </w:footnote>
  <w:footnote w:id="11"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(1).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ممتثل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يعلموا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والاستكثار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يقتضيه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(1/209)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(1/407).</w:t>
      </w:r>
    </w:p>
  </w:footnote>
  <w:footnote w:id="15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(3/343).</w:t>
      </w:r>
    </w:p>
  </w:footnote>
  <w:footnote w:id="16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(4/479).</w:t>
      </w:r>
    </w:p>
  </w:footnote>
  <w:footnote w:id="17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فأعزهم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الطائف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139).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</w:footnote>
  <w:footnote w:id="20"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(3/343)،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(13/477).</w:t>
      </w:r>
    </w:p>
  </w:footnote>
  <w:footnote w:id="21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(2/453).</w:t>
      </w:r>
    </w:p>
  </w:footnote>
  <w:footnote w:id="22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(13/478).</w:t>
      </w:r>
    </w:p>
  </w:footnote>
  <w:footnote w:id="23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(2/196)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286).</w:t>
      </w:r>
    </w:p>
  </w:footnote>
  <w:footnote w:id="24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(3/343).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مأوى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تتحصنون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أعاديكم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(1/381)</w:t>
      </w:r>
    </w:p>
  </w:footnote>
  <w:footnote w:id="25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(4/479).</w:t>
      </w:r>
    </w:p>
  </w:footnote>
  <w:footnote w:id="26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(3/347).</w:t>
      </w:r>
    </w:p>
  </w:footnote>
  <w:footnote w:id="27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(3/343).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(1/381).</w:t>
      </w:r>
    </w:p>
  </w:footnote>
  <w:footnote w:id="28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وأكثرهم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(2/573).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المآكل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والمشارب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والملابس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(4/479).</w:t>
      </w:r>
    </w:p>
  </w:footnote>
  <w:footnote w:id="29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30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نقصان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تنقصني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(2/231).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  <w:br w:type="textWrapping"/>
        <w:t xml:space="preserve">(13/145):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تعهدا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(2/230).</w:t>
      </w:r>
    </w:p>
  </w:footnote>
  <w:footnote w:id="31"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32"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بالموعظة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ينفـروا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(1/162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الموعظة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(4/2172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82)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يتخولنا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تصحيفات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المحدثين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يتخولنا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بالموعظة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السآمة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يتعاهدنا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يتعهدنا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فيتخوننا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يتخولنا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فيستصلحنا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التطريف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التصحيف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وأوردها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76">
      <w:pPr>
        <w:widowControl w:val="0"/>
        <w:bidi w:val="1"/>
        <w:ind w:left="34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الباري</w:t>
      </w:r>
      <w:r w:rsidDel="00000000" w:rsidR="00000000" w:rsidRPr="00000000">
        <w:rPr>
          <w:vertAlign w:val="baseline"/>
          <w:rtl w:val="1"/>
        </w:rPr>
        <w:t xml:space="preserve"> (1/162-163): "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يتخولنا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بالخاء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المعجمة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الخائل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بالمعجمة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خال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وأصلحه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تذكيرنا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لئلا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نمل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والتخون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تخون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وحفظه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اجتنب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وكلا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جائز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الصواب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منصور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الآتي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الاعتراض</w:t>
      </w:r>
      <w:r w:rsidDel="00000000" w:rsidR="00000000" w:rsidRPr="00000000">
        <w:rPr>
          <w:vertAlign w:val="baseline"/>
          <w:rtl w:val="1"/>
        </w:rPr>
        <w:t xml:space="preserve">". </w:t>
      </w:r>
      <w:r w:rsidDel="00000000" w:rsidR="00000000" w:rsidRPr="00000000">
        <w:rPr>
          <w:vertAlign w:val="baseline"/>
          <w:rtl w:val="1"/>
        </w:rPr>
        <w:t xml:space="preserve">اهـ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(1/163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الموعظة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(4/2173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83).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تصحيفات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المحدثين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الأصمعي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يتخولنا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ويتخوننا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يتخولنا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يستصلحنا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يتخوننا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يتعهدنا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(1/79).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3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المزني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مزنية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ومدحه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بقصيدته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فكساه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(4/175).</w:t>
      </w:r>
    </w:p>
  </w:footnote>
  <w:footnote w:id="34"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الأضالين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الأضاليل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5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-: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الأحاليل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الأحاليل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بذنبها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كعسيب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ضرعها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الأحاليل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</w:t>
        <w:br w:type="textWrapping"/>
        <w:t xml:space="preserve">(5/387)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(11/170).</w:t>
      </w:r>
    </w:p>
  </w:footnote>
  <w:footnote w:id="36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طوائف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هادنهم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وظاهروا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فحاصرهم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وتسبى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ذراريهم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(2/128، 3/257)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(3/224).</w:t>
      </w:r>
    </w:p>
  </w:footnote>
  <w:footnote w:id="37"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هادنهم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فنقضوا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يستعينهم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فحاصرهم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دمائهم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38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أذرعات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اتفاقهم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حوارن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الجغرافية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22).</w:t>
      </w:r>
    </w:p>
  </w:footnote>
  <w:footnote w:id="39"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فلسطين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(1/165).</w:t>
      </w:r>
    </w:p>
  </w:footnote>
  <w:footnote w:id="40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2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5"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6"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7"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(13/481)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(40/48).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(3/257-262).</w:t>
      </w:r>
    </w:p>
  </w:footnote>
  <w:footnote w:id="48"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42.</w:t>
      </w:r>
    </w:p>
  </w:footnote>
  <w:footnote w:id="49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(1/381).</w:t>
      </w:r>
    </w:p>
  </w:footnote>
  <w:footnote w:id="50"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عابدين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1"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(1/381).</w:t>
      </w:r>
    </w:p>
  </w:footnote>
  <w:footnote w:id="52"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53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4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5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(2/575).</w:t>
      </w:r>
    </w:p>
  </w:footnote>
  <w:footnote w:id="56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7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632).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(13/491).</w:t>
      </w:r>
    </w:p>
  </w:footnote>
  <w:footnote w:id="58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وحلوان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وحلوان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كهانته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والحلوان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أعطيت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رشوة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وحلوت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حلوانا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أعطيته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(14/193).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(2/575).</w:t>
      </w:r>
    </w:p>
  </w:footnote>
  <w:footnote w:id="60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1"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(41).</w:t>
      </w:r>
    </w:p>
  </w:footnote>
  <w:footnote w:id="62"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3"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  <w:br w:type="textWrapping"/>
        <w:t xml:space="preserve">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فرقانا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مخرجا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(13/489)،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(1/219).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(3/583).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متقاربات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(1/98-99)،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2/7/1417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(4/481).</w:t>
      </w:r>
    </w:p>
  </w:footnote>
  <w:footnote w:id="64"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(282).</w:t>
      </w:r>
    </w:p>
  </w:footnote>
  <w:footnote w:id="65"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(114).</w:t>
      </w:r>
    </w:p>
  </w:footnote>
  <w:footnote w:id="66"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الممتحنة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(6/60)،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(4/1941)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بلتعة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يخبرهم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يدريك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اعملوا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شئتم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غفرت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والصغائر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(15/124):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السيئات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إزالتها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(1/381)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Ïe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6Z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Íh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ويسترها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بالتجاوز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(3/584):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وتكفير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ذنوبه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وغفرها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67"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8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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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(70).</w:t>
      </w:r>
    </w:p>
  </w:footnote>
  <w:footnote w:id="69"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استحقاق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المستأجر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عاوضوه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(1/62، 63).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للشهرستاني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45).</w:t>
      </w:r>
    </w:p>
  </w:footnote>
  <w:footnote w:id="71"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اجتمعت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الندوة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(4/481).</w:t>
      </w:r>
    </w:p>
  </w:footnote>
  <w:footnote w:id="72"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3"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وناصره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حريصا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هدايته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لرأيتنـي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سمحــا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بــذاك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مبينـــا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ودعوتني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وعرضت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حـــذار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مسبــة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الرافضة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الرافضي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(4/166).</w:t>
      </w:r>
    </w:p>
  </w:footnote>
  <w:footnote w:id="74"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هاجروا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بايعه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6"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واجتمعوا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7"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عبدالعزى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يؤذيه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يبلغه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يكرهه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يستأسر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(3/285).</w:t>
      </w:r>
    </w:p>
  </w:footnote>
  <w:footnote w:id="78"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ويتربص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9"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ويخلصونه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0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1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2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(3/278):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فعقلها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المقتول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ليسلمها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ويقبضوها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83"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بردتي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4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مهاجرا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باتوا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مترصدين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مهاجرا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5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فحدثني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(2/94)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(13/498)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(1/348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3251)،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(7/100):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مصنفه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(5/384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9743)،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(2/465).</w:t>
      </w:r>
    </w:p>
  </w:footnote>
  <w:footnote w:id="86"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87"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(4/1854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88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مسندا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(3/183)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ولسنا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9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(13/491، 492)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الوثاق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ليحبسوك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1"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تغلب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(7/397)،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(1/381).</w:t>
      </w:r>
    </w:p>
  </w:footnote>
  <w:footnote w:id="92"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يعاملهم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الازدواج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والمشاكلة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والمخادعة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إيصاله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ممدوح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والفاجر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المجازاة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المخلوق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بالخالق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الواسطية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56).</w:t>
      </w:r>
    </w:p>
  </w:footnote>
  <w:footnote w:id="93"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(1/382).</w:t>
      </w:r>
    </w:p>
  </w:footnote>
  <w:footnote w:id="94"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95"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المشاكلة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(514).</w:t>
      </w:r>
    </w:p>
  </w:footnote>
  <w:footnote w:id="96"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7"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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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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(32).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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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(33-34).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$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Ïi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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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(4/2154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37).</w:t>
      </w:r>
    </w:p>
  </w:footnote>
  <w:footnote w:id="98"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علقمة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صبرا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بالصفراء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(3/305).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(13/503-504)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(7/397)،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(3/587).</w:t>
      </w:r>
    </w:p>
  </w:footnote>
  <w:footnote w:id="99"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برستم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اسفنديار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بستاشب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لهراسب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أجدادهم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511).</w:t>
      </w:r>
    </w:p>
  </w:footnote>
  <w:footnote w:id="100"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1"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(13/503-504)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(3/587).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تنبيه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(3/305).</w:t>
      </w:r>
    </w:p>
  </w:footnote>
  <w:footnote w:id="102"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(180).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(13/505-506).</w:t>
      </w:r>
    </w:p>
  </w:footnote>
  <w:footnote w:id="103"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أبرهة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الحبشة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أبرهة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كنيسة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فغضبت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أبرهة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غضبا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ليهدمن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عرمرم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وأرادوا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فقتلت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(30/191)،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(2/170).</w:t>
      </w:r>
    </w:p>
  </w:footnote>
  <w:footnote w:id="104"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5"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بإنكار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6"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ومثاله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7"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(2/577).</w:t>
      </w:r>
    </w:p>
  </w:footnote>
  <w:footnote w:id="108"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(1/382).</w:t>
      </w:r>
    </w:p>
  </w:footnote>
  <w:footnote w:id="109"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الهدهاد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(20-44)،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واتبعت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(2/73).</w:t>
      </w:r>
    </w:p>
  </w:footnote>
  <w:footnote w:id="110"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الغلابي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(3/550).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(2/382).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(4/483).</w:t>
      </w:r>
    </w:p>
  </w:footnote>
  <w:footnote w:id="111"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2"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بالصالحين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اشتراك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الجائز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ومتابعتهم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بدعائهم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الأعرابي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يسقينا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أغثنا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أغثنا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أغثنا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أمثلته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قحطوا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يستسقون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بنبينا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فتسقينا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فاسقنا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فيسقون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قحطوا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الممنوع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التوقيف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جائزا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(1/153، 199)،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(9/22).</w:t>
      </w:r>
    </w:p>
  </w:footnote>
  <w:footnote w:id="113"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4"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(13/509-511)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أبزى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(1/382).</w:t>
      </w:r>
    </w:p>
  </w:footnote>
  <w:footnote w:id="115"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مثبتة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6"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(25).</w:t>
      </w:r>
    </w:p>
  </w:footnote>
  <w:footnote w:id="117"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(1/382)، (2/411).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المستغفرون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واستغفارهم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وتوفيق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647).</w:t>
      </w:r>
    </w:p>
  </w:footnote>
  <w:footnote w:id="118"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سقطت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9"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تسليط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مؤمنات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والمؤمنات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0"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(13/517)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ليعذبهم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يستغفر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(3/354).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يستغفرون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معذبهم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يستغفرون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تلبيتهم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غفرانك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(13/511-517)،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(3/350-351)،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(4/483-484)،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(3/587-588).</w:t>
      </w:r>
    </w:p>
  </w:footnote>
  <w:footnote w:id="121"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(117).</w:t>
      </w:r>
    </w:p>
  </w:footnote>
  <w:footnote w:id="122"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(3/253)،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(3/592).</w:t>
      </w:r>
    </w:p>
  </w:footnote>
  <w:footnote w:id="123"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4"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(2/522).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متلازمان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5"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(288).</w:t>
      </w:r>
    </w:p>
  </w:footnote>
  <w:footnote w:id="126"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مرتبان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127"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8"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(1/383).</w:t>
      </w:r>
    </w:p>
  </w:footnote>
  <w:footnote w:id="129"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مخفف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جناحيه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(15/290).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(4/344)،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للدميري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(2/149).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ضبطه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(9/338).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فضبطه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(2/8/135).</w:t>
      </w:r>
    </w:p>
  </w:footnote>
  <w:footnote w:id="130"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(14/454):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يجيبك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التصدية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التصفيق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1"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2"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(13/524).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(3/593).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وتصفيقهم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ليخلطوا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(13/525).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(2/524).</w:t>
      </w:r>
    </w:p>
  </w:footnote>
  <w:footnote w:id="133"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4"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جفائي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(3/354).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(3/579).</w:t>
      </w:r>
    </w:p>
  </w:footnote>
  <w:footnote w:id="135"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(1/383).</w:t>
      </w:r>
    </w:p>
  </w:footnote>
  <w:footnote w:id="136"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(4/486).</w:t>
      </w:r>
    </w:p>
  </w:footnote>
  <w:footnote w:id="137"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38"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وأبوالبختري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(4، 492).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(1/128). </w:t>
      </w:r>
    </w:p>
  </w:footnote>
  <w:footnote w:id="139"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(4/492).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والجزائر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أنثى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(1/266).</w:t>
      </w:r>
    </w:p>
  </w:footnote>
  <w:footnote w:id="140"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الأحابيش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تسميتهم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الأحابيش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اجتمعوا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فتحالفوا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لاجتماعهم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والتحبيش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رشيق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(6/278).</w:t>
      </w:r>
    </w:p>
  </w:footnote>
  <w:footnote w:id="141"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(13/531).</w:t>
      </w:r>
    </w:p>
  </w:footnote>
  <w:footnote w:id="142"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3"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أبزى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(13/530-531).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(1/383).</w:t>
      </w:r>
    </w:p>
  </w:footnote>
  <w:footnote w:id="144"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أصيبوا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خياركم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فأعينونا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ثأرا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وعزاه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(13/532-533).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(1/383).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إنفاقهم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فيندرج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يقصدون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بنفقتهم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45"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إخبارهم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6"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إنفاقهم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إنفاقهم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عاقبته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(1/383).</w:t>
      </w:r>
    </w:p>
  </w:footnote>
  <w:footnote w:id="147"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(21). </w:t>
      </w:r>
    </w:p>
  </w:footnote>
  <w:footnote w:id="148"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الشقاوة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(13/535).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(13/534).</w:t>
      </w:r>
    </w:p>
  </w:footnote>
  <w:footnote w:id="149"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(3/595).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13/7/1417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50"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(59).</w:t>
      </w:r>
    </w:p>
  </w:footnote>
  <w:footnote w:id="151"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(2/412).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(7/401).</w:t>
      </w:r>
    </w:p>
  </w:footnote>
  <w:footnote w:id="152"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(2/244).</w:t>
      </w:r>
    </w:p>
  </w:footnote>
  <w:footnote w:id="153"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وللزيادة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4"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(1/369).</w:t>
      </w:r>
    </w:p>
  </w:footnote>
  <w:footnote w:id="155"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ألقيت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(2/430).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(10/242).</w:t>
      </w:r>
    </w:p>
  </w:footnote>
  <w:footnote w:id="156"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17846)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(1/112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57"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Ïj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^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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يعرفون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154).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(7/402)،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</w:footnote>
  <w:footnote w:id="158"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فيلزمه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الآدميين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9"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(1/255)،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(3/597)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يستمروا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(3/357). 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ينفصلوا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(2/527).</w:t>
      </w:r>
    </w:p>
  </w:footnote>
  <w:footnote w:id="160"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(1/584).</w:t>
      </w:r>
    </w:p>
  </w:footnote>
  <w:footnote w:id="161"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بالاستئصال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(11/16)</w:t>
      </w:r>
    </w:p>
  </w:footnote>
  <w:footnote w:id="162"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(4/489).</w:t>
      </w:r>
    </w:p>
  </w:footnote>
  <w:footnote w:id="163"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(13/538-539).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(3/596-597).</w:t>
      </w:r>
    </w:p>
  </w:footnote>
  <w:footnote w:id="164"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5"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والأعرق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الفصاحة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فثقوا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بموالاته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(5/604).</w:t>
      </w:r>
    </w:p>
  </w:footnote>
  <w:footnote w:id="166"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(4/492).</w:t>
      </w:r>
    </w:p>
  </w:footnote>
  <w:footnote w:id="167"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(13/548)،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غلبوا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(13/547).</w:t>
      </w:r>
    </w:p>
  </w:footnote>
  <w:footnote w:id="168"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9"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أخماص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0"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(13/552).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(6/218):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وأجمعوا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للتبرك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71"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لافتتاح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(4/492).</w:t>
      </w:r>
    </w:p>
  </w:footnote>
  <w:footnote w:id="172"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الصنائع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(7/125).</w:t>
      </w:r>
    </w:p>
  </w:footnote>
  <w:footnote w:id="173"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174"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(5/171)،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(8/307).</w:t>
      </w:r>
    </w:p>
  </w:footnote>
  <w:footnote w:id="175"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موكول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واجتهاده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(4/6).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(3/359-360)،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(11/181).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للفقير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(8/12).</w:t>
      </w:r>
    </w:p>
  </w:footnote>
  <w:footnote w:id="176"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والأنثى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والشنقيطي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ترجيحه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تفضيل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الأنثى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أنثاهم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7"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8"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وعبدشمس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عاتكة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ونوفل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واقدة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المازنية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(1/142، 167).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تنبيه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9"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(3/480).</w:t>
      </w:r>
    </w:p>
  </w:footnote>
  <w:footnote w:id="180"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(1/2/223)،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(1/235).</w:t>
      </w:r>
    </w:p>
  </w:footnote>
  <w:footnote w:id="181"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2"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3"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4"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والأوزاعي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5"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القبائل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فاجتمعوا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فتحالفوا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يناكحوهم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يبايعوهم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يخالطوهم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وكتبوا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وعلقوها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وانحاز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فدخلوا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واشتد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والمطعم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والقطعية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انتهيتم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قطيعتنا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كاذبا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وجدوها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فزادهم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(1/388، 412)،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(3/29).</w:t>
      </w:r>
    </w:p>
  </w:footnote>
  <w:footnote w:id="186"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7"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(1/384).</w:t>
      </w:r>
    </w:p>
  </w:footnote>
  <w:footnote w:id="188"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9"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(1).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0"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وعروة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(13/561-562)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1"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(2/624).</w:t>
      </w:r>
    </w:p>
  </w:footnote>
  <w:footnote w:id="192"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3/111)،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(15/40).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(1/280).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(1/385).</w:t>
      </w:r>
    </w:p>
  </w:footnote>
  <w:footnote w:id="193"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170).</w:t>
      </w:r>
    </w:p>
  </w:footnote>
  <w:footnote w:id="194"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اليزيدي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180، 235)،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183).</w:t>
      </w:r>
    </w:p>
  </w:footnote>
  <w:footnote w:id="195"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(2/624).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6"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شذت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أبقيت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موافقا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(2/564).</w:t>
      </w:r>
    </w:p>
  </w:footnote>
  <w:footnote w:id="197"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مفتوحا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قولنـا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استعوذ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استعوذ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لتحركها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مفتوحا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واستحوذ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وجاءا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(2/566).</w:t>
      </w:r>
    </w:p>
  </w:footnote>
  <w:footnote w:id="198"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(1/429):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ركبان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والركبان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9"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(2/585).</w:t>
      </w:r>
    </w:p>
  </w:footnote>
  <w:footnote w:id="200"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1"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(2/585).</w:t>
      </w:r>
    </w:p>
  </w:footnote>
  <w:footnote w:id="202"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3"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(6/269).</w:t>
      </w:r>
    </w:p>
  </w:footnote>
  <w:footnote w:id="204"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(1/385).</w:t>
      </w:r>
    </w:p>
  </w:footnote>
  <w:footnote w:id="205"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06"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7"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وتأويله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8"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(1/385).</w:t>
      </w:r>
    </w:p>
  </w:footnote>
  <w:footnote w:id="209"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121).</w:t>
      </w:r>
    </w:p>
  </w:footnote>
  <w:footnote w:id="210"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(2/463)،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(3/363)،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(2/585)،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193).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عدوكم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لينصركم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قاطعة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والبراهين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ساطعة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فحينئذ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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وبصيرة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(122)...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(4/12).</w:t>
      </w:r>
    </w:p>
  </w:footnote>
  <w:footnote w:id="211"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واستظهره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(4/497).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</w:footnote>
  <w:footnote w:id="212"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ومؤذن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(1/119).</w:t>
      </w:r>
    </w:p>
  </w:footnote>
  <w:footnote w:id="213"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(1/134)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(1/325).</w:t>
      </w:r>
    </w:p>
  </w:footnote>
  <w:footnote w:id="214"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(6/487)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(1/88)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(1/346).</w:t>
      </w:r>
    </w:p>
  </w:footnote>
  <w:footnote w:id="215"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الإدغام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بيائين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مفتوحة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أدغم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(1/492).</w:t>
      </w:r>
    </w:p>
  </w:footnote>
  <w:footnote w:id="216"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بأقوالكم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7"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(1/385).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218"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9"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0"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4/13)،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المازني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والنقاش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(1/247)،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يذهبون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(2/419).</w:t>
      </w:r>
    </w:p>
  </w:footnote>
  <w:footnote w:id="221"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(4/13):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متكررا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يتكرر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(2/535).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المعتزلي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5071):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عابدا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258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2663).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فبالجملة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الاحتجاج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وفصاحته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(4/13).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(2/419).</w:t>
      </w:r>
    </w:p>
  </w:footnote>
  <w:footnote w:id="222"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(1/385).</w:t>
      </w:r>
    </w:p>
  </w:footnote>
  <w:footnote w:id="223"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4"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إحجاما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الإحجام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نكص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(12/116).</w:t>
      </w:r>
    </w:p>
  </w:footnote>
  <w:footnote w:id="225"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بإرايكم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6"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(1/385).</w:t>
      </w:r>
    </w:p>
  </w:footnote>
  <w:footnote w:id="227"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8"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9"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بالضميرين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230"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(1/417).</w:t>
      </w:r>
    </w:p>
  </w:footnote>
  <w:footnote w:id="231"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2"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3"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(13/572)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وتتمته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فأسرنا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234"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5"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(7/356)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أشياخ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(2/234).</w:t>
      </w:r>
    </w:p>
  </w:footnote>
  <w:footnote w:id="236"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(2/310):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تشبعهم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7"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(13).</w:t>
      </w:r>
    </w:p>
  </w:footnote>
  <w:footnote w:id="238"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(4/498).</w:t>
      </w:r>
    </w:p>
  </w:footnote>
  <w:footnote w:id="239"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المخلوقات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كعدمها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أحيانا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وإراداته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(8/136).</w:t>
      </w:r>
    </w:p>
  </w:footnote>
  <w:footnote w:id="240"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(4/483).</w:t>
      </w:r>
    </w:p>
  </w:footnote>
  <w:footnote w:id="241"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يخرجون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ويمتنعون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خروجهم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مراسلتهم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مظلمة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كشفها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قاتلهم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معونته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قاتلهم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يجهز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نساؤهم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ذراريهم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(4/1716)،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(7/390)،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40).</w:t>
      </w:r>
    </w:p>
  </w:footnote>
  <w:footnote w:id="242"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3"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(9).</w:t>
      </w:r>
    </w:p>
  </w:footnote>
  <w:footnote w:id="244"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(33).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يعرضون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بالسلاح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البنيان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فيعتدون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يقاتلهم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جاؤوا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تائبين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فيسقط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الآدميين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وأخذوا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وصلبوا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يأخذوا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يصلبوا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وأرجلهم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أخافوا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يأخذوا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(6/148)،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(6/149).</w:t>
      </w:r>
    </w:p>
  </w:footnote>
  <w:footnote w:id="245"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إفادة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...".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(4/498).</w:t>
      </w:r>
    </w:p>
  </w:footnote>
  <w:footnote w:id="246"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47"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واذكروا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8"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9"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كراهية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(3/1362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واسألوا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لقيتموهم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فاصبروا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واعلموا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 ».</w:t>
      </w:r>
    </w:p>
  </w:footnote>
  <w:footnote w:id="250"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1"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2"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(3/1257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253"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فشل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1346).</w:t>
      </w:r>
    </w:p>
  </w:footnote>
  <w:footnote w:id="254"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المضمرة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5"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6"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(1/247):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وتنقطع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دولتكم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(3/364).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(13/576)،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(3/365).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7"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(13/577)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يبعثها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(1/386).</w:t>
      </w:r>
    </w:p>
  </w:footnote>
  <w:footnote w:id="258"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بالصبا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(2/22)،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الاستسقاء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(6/198).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أهلكهم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إهلاكهم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(4-8).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(29/31)،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(2/605)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9"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ليقيده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60"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140).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الأنفال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8.png"/><Relationship Id="rId42" Type="http://schemas.openxmlformats.org/officeDocument/2006/relationships/image" Target="media/image62.png"/><Relationship Id="rId41" Type="http://schemas.openxmlformats.org/officeDocument/2006/relationships/image" Target="media/image60.png"/><Relationship Id="rId44" Type="http://schemas.openxmlformats.org/officeDocument/2006/relationships/image" Target="media/image28.png"/><Relationship Id="rId43" Type="http://schemas.openxmlformats.org/officeDocument/2006/relationships/image" Target="media/image64.png"/><Relationship Id="rId46" Type="http://schemas.openxmlformats.org/officeDocument/2006/relationships/image" Target="media/image32.png"/><Relationship Id="rId45" Type="http://schemas.openxmlformats.org/officeDocument/2006/relationships/image" Target="media/image3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48" Type="http://schemas.openxmlformats.org/officeDocument/2006/relationships/image" Target="media/image44.png"/><Relationship Id="rId47" Type="http://schemas.openxmlformats.org/officeDocument/2006/relationships/image" Target="media/image42.png"/><Relationship Id="rId49" Type="http://schemas.openxmlformats.org/officeDocument/2006/relationships/image" Target="media/image46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6.png"/><Relationship Id="rId8" Type="http://schemas.openxmlformats.org/officeDocument/2006/relationships/image" Target="media/image14.png"/><Relationship Id="rId31" Type="http://schemas.openxmlformats.org/officeDocument/2006/relationships/image" Target="media/image86.png"/><Relationship Id="rId30" Type="http://schemas.openxmlformats.org/officeDocument/2006/relationships/image" Target="media/image84.png"/><Relationship Id="rId33" Type="http://schemas.openxmlformats.org/officeDocument/2006/relationships/image" Target="media/image50.png"/><Relationship Id="rId32" Type="http://schemas.openxmlformats.org/officeDocument/2006/relationships/image" Target="media/image88.png"/><Relationship Id="rId35" Type="http://schemas.openxmlformats.org/officeDocument/2006/relationships/image" Target="media/image54.png"/><Relationship Id="rId34" Type="http://schemas.openxmlformats.org/officeDocument/2006/relationships/image" Target="media/image52.png"/><Relationship Id="rId37" Type="http://schemas.openxmlformats.org/officeDocument/2006/relationships/image" Target="media/image66.png"/><Relationship Id="rId36" Type="http://schemas.openxmlformats.org/officeDocument/2006/relationships/image" Target="media/image56.png"/><Relationship Id="rId39" Type="http://schemas.openxmlformats.org/officeDocument/2006/relationships/image" Target="media/image70.png"/><Relationship Id="rId38" Type="http://schemas.openxmlformats.org/officeDocument/2006/relationships/image" Target="media/image68.png"/><Relationship Id="rId20" Type="http://schemas.openxmlformats.org/officeDocument/2006/relationships/image" Target="media/image98.png"/><Relationship Id="rId22" Type="http://schemas.openxmlformats.org/officeDocument/2006/relationships/image" Target="media/image74.png"/><Relationship Id="rId21" Type="http://schemas.openxmlformats.org/officeDocument/2006/relationships/image" Target="media/image100.png"/><Relationship Id="rId24" Type="http://schemas.openxmlformats.org/officeDocument/2006/relationships/image" Target="media/image78.png"/><Relationship Id="rId23" Type="http://schemas.openxmlformats.org/officeDocument/2006/relationships/image" Target="media/image76.png"/><Relationship Id="rId60" Type="http://schemas.openxmlformats.org/officeDocument/2006/relationships/footer" Target="footer2.xml"/><Relationship Id="rId26" Type="http://schemas.openxmlformats.org/officeDocument/2006/relationships/image" Target="media/image72.png"/><Relationship Id="rId25" Type="http://schemas.openxmlformats.org/officeDocument/2006/relationships/image" Target="media/image80.png"/><Relationship Id="rId28" Type="http://schemas.openxmlformats.org/officeDocument/2006/relationships/image" Target="media/image92.png"/><Relationship Id="rId27" Type="http://schemas.openxmlformats.org/officeDocument/2006/relationships/image" Target="media/image90.png"/><Relationship Id="rId29" Type="http://schemas.openxmlformats.org/officeDocument/2006/relationships/image" Target="media/image82.png"/><Relationship Id="rId51" Type="http://schemas.openxmlformats.org/officeDocument/2006/relationships/image" Target="media/image34.png"/><Relationship Id="rId50" Type="http://schemas.openxmlformats.org/officeDocument/2006/relationships/image" Target="media/image48.png"/><Relationship Id="rId53" Type="http://schemas.openxmlformats.org/officeDocument/2006/relationships/image" Target="media/image38.png"/><Relationship Id="rId52" Type="http://schemas.openxmlformats.org/officeDocument/2006/relationships/image" Target="media/image36.png"/><Relationship Id="rId11" Type="http://schemas.openxmlformats.org/officeDocument/2006/relationships/image" Target="media/image8.png"/><Relationship Id="rId55" Type="http://schemas.openxmlformats.org/officeDocument/2006/relationships/image" Target="media/image22.png"/><Relationship Id="rId10" Type="http://schemas.openxmlformats.org/officeDocument/2006/relationships/image" Target="media/image18.png"/><Relationship Id="rId54" Type="http://schemas.openxmlformats.org/officeDocument/2006/relationships/image" Target="media/image40.png"/><Relationship Id="rId13" Type="http://schemas.openxmlformats.org/officeDocument/2006/relationships/image" Target="media/image12.png"/><Relationship Id="rId57" Type="http://schemas.openxmlformats.org/officeDocument/2006/relationships/image" Target="media/image26.png"/><Relationship Id="rId12" Type="http://schemas.openxmlformats.org/officeDocument/2006/relationships/image" Target="media/image6.png"/><Relationship Id="rId56" Type="http://schemas.openxmlformats.org/officeDocument/2006/relationships/image" Target="media/image24.png"/><Relationship Id="rId15" Type="http://schemas.openxmlformats.org/officeDocument/2006/relationships/image" Target="media/image4.png"/><Relationship Id="rId59" Type="http://schemas.openxmlformats.org/officeDocument/2006/relationships/footer" Target="footer1.xml"/><Relationship Id="rId14" Type="http://schemas.openxmlformats.org/officeDocument/2006/relationships/image" Target="media/image10.png"/><Relationship Id="rId58" Type="http://schemas.openxmlformats.org/officeDocument/2006/relationships/header" Target="header1.xml"/><Relationship Id="rId17" Type="http://schemas.openxmlformats.org/officeDocument/2006/relationships/image" Target="media/image102.png"/><Relationship Id="rId16" Type="http://schemas.openxmlformats.org/officeDocument/2006/relationships/image" Target="media/image2.png"/><Relationship Id="rId19" Type="http://schemas.openxmlformats.org/officeDocument/2006/relationships/image" Target="media/image96.png"/><Relationship Id="rId18" Type="http://schemas.openxmlformats.org/officeDocument/2006/relationships/image" Target="media/image9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