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مشركي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بتقدير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مقابلة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بالكفران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تكبرا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br w:type="textWrapping"/>
        <w:t xml:space="preserve">]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إظهار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الباطن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يخبرهم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بنجاة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ويأمرهم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بالرجوع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أبوجهل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فنشرب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وننحر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وتعزف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القينات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شربوا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كؤوس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المنايا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النوائح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بمقابلة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والإخلاص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بضده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القرينة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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 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وصريح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الحدوث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مستمر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1520825" cy="377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90350" y="3595850"/>
                          <a:ext cx="1511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(47، 48)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1520825" cy="377825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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يتقربون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لآلهتهم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وإطعام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المحاويج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وسقي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الحجيج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تذكرة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التحذير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الاغترار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بوساوس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الشيطان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أباطيله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تباشير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ولأنكم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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الحزبان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  <w:br w:type="textWrapping"/>
      </w: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الكناني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وكنانة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تعرفون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يخلفونكم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أهليكم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نازلين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هشـام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أخي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جهل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فضربها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هاربا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الحارث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ويلك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سراقة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أتخذلنا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الساعة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كنانة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بالوسوسة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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إيهامه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خطواته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وطاعته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القهقرى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-2755899</wp:posOffset>
                </wp:positionV>
                <wp:extent cx="1063625" cy="3778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-2755899</wp:posOffset>
                </wp:positionV>
                <wp:extent cx="1063625" cy="377825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وقولـه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النازلين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يصيبوه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بمكروه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مردفين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تزلزل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وانهزام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مدبرا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الخوف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وحزبه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رؤي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إبليس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أصغر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أدحر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أغيظ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عرفة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يرى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نزول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الرحمة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إلا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رؤي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بدر</w:t>
      </w:r>
      <w:r w:rsidDel="00000000" w:rsidR="00000000" w:rsidRPr="00000000">
        <w:rPr>
          <w:b w:val="1"/>
          <w:vertAlign w:val="baseline"/>
          <w:rtl w:val="1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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لإبليس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عقابه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إظهارا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للمعذرة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-1269999</wp:posOffset>
                </wp:positionV>
                <wp:extent cx="1489075" cy="3778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606225" y="3595850"/>
                          <a:ext cx="14795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(48، 49)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-1269999</wp:posOffset>
                </wp:positionV>
                <wp:extent cx="1489075" cy="37782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واذكر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المنافقين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والذين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المنافقون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لتغاير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الوصفين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اغتروا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واثقين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بدينهم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الامتنان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وأجاب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يثق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ويفوض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الأسباب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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بحكمة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أولياءه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مستبعدا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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لرأيت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عظيما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يموتون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أنفسهم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قتل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-2806699</wp:posOffset>
                </wp:positionV>
                <wp:extent cx="1520825" cy="377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90350" y="3595850"/>
                          <a:ext cx="1511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(49، 50)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-2806699</wp:posOffset>
                </wp:positionV>
                <wp:extent cx="1520825" cy="37782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استغنى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المضارعية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لاشتماله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-507999</wp:posOffset>
                </wp:positionV>
                <wp:extent cx="1053465" cy="377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24030" y="3595850"/>
                          <a:ext cx="104394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-507999</wp:posOffset>
                </wp:positionV>
                <wp:extent cx="1053465" cy="377825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46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أستاههم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يضربون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أعضائهم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وأخسها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-863599</wp:posOffset>
                </wp:positionV>
                <wp:extent cx="1063625" cy="377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-863599</wp:posOffset>
                </wp:positionV>
                <wp:extent cx="1063625" cy="377825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يعمونهم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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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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قائلين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الضرب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بأيديهم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ضربوا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-800099</wp:posOffset>
                </wp:positionH>
                <wp:positionV relativeFrom="paragraph">
                  <wp:posOffset>50800</wp:posOffset>
                </wp:positionV>
                <wp:extent cx="572135" cy="285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64695" y="3641888"/>
                          <a:ext cx="56261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111/أ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-800099</wp:posOffset>
                </wp:positionH>
                <wp:positionV relativeFrom="paragraph">
                  <wp:posOffset>50800</wp:posOffset>
                </wp:positionV>
                <wp:extent cx="572135" cy="2857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3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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أمرين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بكفركم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بصيغة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الاستغراق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الأفراد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يستحقه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عظيما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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الدأب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وتمرن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شكى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شكى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إلي</w:t>
      </w:r>
      <w:r w:rsidDel="00000000" w:rsidR="00000000" w:rsidRPr="00000000">
        <w:rPr>
          <w:b w:val="1"/>
          <w:vertAlign w:val="baseline"/>
          <w:rtl w:val="1"/>
        </w:rPr>
        <w:t xml:space="preserve">َّ </w:t>
      </w:r>
      <w:r w:rsidDel="00000000" w:rsidR="00000000" w:rsidRPr="00000000">
        <w:rPr>
          <w:b w:val="1"/>
          <w:vertAlign w:val="baseline"/>
          <w:rtl w:val="1"/>
        </w:rPr>
        <w:t xml:space="preserve">أنك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تدئبه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فرعون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والشبه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أحل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ذنوبهم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بقومك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يقاومه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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يمهل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الكافر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حتى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أخذه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يفلته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ملوك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وعقاب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-1650999</wp:posOffset>
                </wp:positionV>
                <wp:extent cx="1403985" cy="37782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648770" y="3595850"/>
                          <a:ext cx="13944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(51، 52)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-1650999</wp:posOffset>
                </wp:positionV>
                <wp:extent cx="1403985" cy="377825"/>
                <wp:effectExtent b="0" l="0" r="0" t="0"/>
                <wp:wrapNone/>
                <wp:docPr id="51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98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بالمشب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والمشب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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يتركوا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ويجعلوا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آمنا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الشتاء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والصيف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فأطعمهم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لأحد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للأنصار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احصدوا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أو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اش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قريش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أبوسفيان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: «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ألقى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السلاح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فهو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آمن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أغلق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فهو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آمن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-2031999</wp:posOffset>
                </wp:positionV>
                <wp:extent cx="1541780" cy="37782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4579873" y="3595850"/>
                          <a:ext cx="153225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(52، 53)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-2031999</wp:posOffset>
                </wp:positionV>
                <wp:extent cx="1541780" cy="377825"/>
                <wp:effectExtent b="0" l="0" r="0" t="0"/>
                <wp:wrapNone/>
                <wp:docPr id="47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78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48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لأقوالهم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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بعقائدهم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تعليل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-1244599</wp:posOffset>
                </wp:positionV>
                <wp:extent cx="1850390" cy="37782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425568" y="3595850"/>
                          <a:ext cx="184086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الآيات رقم (53، 54، 55)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-1244599</wp:posOffset>
                </wp:positionV>
                <wp:extent cx="1850390" cy="377825"/>
                <wp:effectExtent b="0" l="0" r="0" t="0"/>
                <wp:wrapNone/>
                <wp:docPr id="49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39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 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للتأكيد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المنعم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بإهلاك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طائفة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وإغراق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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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ظالمين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أنفسهم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والتكذيب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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فرد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الصم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يعقلون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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القابلية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بانتفاء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الإدراك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الدراكة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لسببية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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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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قريظة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معاهدين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النضير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فنقضوا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العهد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وأعانوا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وأرسلوا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الأشرف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ليعقد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فقتلوه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معشر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اليهود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أسلموا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تسلموا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ذلك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أردت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اعلموا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معشر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اليهود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الأرض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ورسوله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83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وإني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أريد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ج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ل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ي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هذه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فأجلى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النضير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قريظة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الخندق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غزوة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الأحزاب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نقضوا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وحاربوا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وأعانوا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واغتسل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وضعت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وضعناه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وأشار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قريظة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فحاصرهم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ونزلوا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مقاتلتهم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وتسبى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ذراريهم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-1663699</wp:posOffset>
                </wp:positionV>
                <wp:extent cx="1424940" cy="37782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638293" y="3595850"/>
                          <a:ext cx="14154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(55، 56)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-1663699</wp:posOffset>
                </wp:positionV>
                <wp:extent cx="1424940" cy="377825"/>
                <wp:effectExtent b="0" l="0" r="0" t="0"/>
                <wp:wrapNone/>
                <wp:docPr id="50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94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-1244599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-1244599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37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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شناعة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أولادهم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وهتك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حريمهم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-2412999</wp:posOffset>
                </wp:positionV>
                <wp:extent cx="1478280" cy="3778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611623" y="3595850"/>
                          <a:ext cx="146875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(56، 57)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-2412999</wp:posOffset>
                </wp:positionV>
                <wp:extent cx="1478280" cy="377825"/>
                <wp:effectExtent b="0" l="0" r="0" t="0"/>
                <wp:wrapNone/>
                <wp:docPr id="38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تصادفنهم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الحذق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والسرعة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غلام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عاقل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نك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نكالا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لتفرق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يحضروا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ناصبك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ٌ.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-838199</wp:posOffset>
                </wp:positionV>
                <wp:extent cx="1478280" cy="3778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611623" y="3595850"/>
                          <a:ext cx="146875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(57، 58)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-838199</wp:posOffset>
                </wp:positionV>
                <wp:extent cx="1478280" cy="377825"/>
                <wp:effectExtent b="0" l="0" r="0" t="0"/>
                <wp:wrapNone/>
                <wp:docPr id="39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والتشريد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التفريق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الجمل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وعصى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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يتعظ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ويرعوي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العاقل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اتعظ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نقـض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العهـد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عهدهم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وأخبرهم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وبينهم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كائنين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والعداوة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النابذ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والمنبوذ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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تعليل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بالنبذ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بالنبذ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: « </w:t>
      </w:r>
      <w:r w:rsidDel="00000000" w:rsidR="00000000" w:rsidRPr="00000000">
        <w:rPr>
          <w:b w:val="1"/>
          <w:vertAlign w:val="baseline"/>
          <w:rtl w:val="1"/>
        </w:rPr>
        <w:t xml:space="preserve">لكل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غادر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لواء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القيامة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ينصب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استه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وينادى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هذه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غدرة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فلان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b w:val="1"/>
          <w:vertAlign w:val="baseline"/>
          <w:rtl w:val="1"/>
        </w:rPr>
        <w:t xml:space="preserve">و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َ </w:t>
      </w:r>
      <w:r w:rsidDel="00000000" w:rsidR="00000000" w:rsidRPr="00000000">
        <w:rPr>
          <w:b w:val="1"/>
          <w:vertAlign w:val="baseline"/>
          <w:rtl w:val="1"/>
        </w:rPr>
        <w:t xml:space="preserve">ت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ح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سب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ن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/ 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تحسبن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فائتين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بالياء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حاسب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ودعوى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لموافقة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جعفر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محيصن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والحسن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وطلحة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الشاذة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تسلية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40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-863599</wp:posOffset>
                </wp:positionH>
                <wp:positionV relativeFrom="paragraph">
                  <wp:posOffset>50800</wp:posOffset>
                </wp:positionV>
                <wp:extent cx="591185" cy="38163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055170" y="3593945"/>
                          <a:ext cx="58166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111/ب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-863599</wp:posOffset>
                </wp:positionH>
                <wp:positionV relativeFrom="paragraph">
                  <wp:posOffset>50800</wp:posOffset>
                </wp:positionV>
                <wp:extent cx="591185" cy="381635"/>
                <wp:effectExtent b="0" l="0" r="0" t="0"/>
                <wp:wrapNone/>
                <wp:docPr id="36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85" cy="381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45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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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استئناف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يؤكد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المفهوم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بالفتح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الحسبان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صلة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-1269999</wp:posOffset>
                </wp:positionV>
                <wp:extent cx="1478280" cy="37782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611623" y="3595850"/>
                          <a:ext cx="146875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(59، 60)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-1269999</wp:posOffset>
                </wp:positionV>
                <wp:extent cx="1478280" cy="377825"/>
                <wp:effectExtent b="0" l="0" r="0" t="0"/>
                <wp:wrapNone/>
                <wp:docPr id="46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[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بفائتين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مظنة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يتكاسل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متكلين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حثهم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لقهر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وأعدائهم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والقوة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الرمي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وكرر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ثلاثا</w:t>
      </w:r>
      <w:r w:rsidDel="00000000" w:rsidR="00000000" w:rsidRPr="00000000">
        <w:rPr>
          <w:vertAlign w:val="baseline"/>
          <w:rtl w:val="1"/>
        </w:rPr>
        <w:t xml:space="preserve">ً"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التأثير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الاحتراز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الإحساس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والسيوف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فحثهم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الرمي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تعلم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الرمي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ثم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تركه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فليس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منا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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-2387599</wp:posOffset>
                </wp:positionV>
                <wp:extent cx="1063625" cy="3778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-2387599</wp:posOffset>
                </wp:positionV>
                <wp:extent cx="1063625" cy="377825"/>
                <wp:effectExtent b="0" l="0" r="0" t="0"/>
                <wp:wrapNone/>
                <wp:docPr id="41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وإفراد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لفضيلته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استئناف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المنافقون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أعداء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عداوتهم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كعداوة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مشركي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-850899</wp:posOffset>
                </wp:positionV>
                <wp:extent cx="1063625" cy="3778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-850899</wp:posOffset>
                </wp:positionV>
                <wp:extent cx="1063625" cy="377825"/>
                <wp:effectExtent b="0" l="0" r="0" t="0"/>
                <wp:wrapNone/>
                <wp:docPr id="42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بأعيانهم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[.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تنبيه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يتهاونوا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عداوتهم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الجهاد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-863599</wp:posOffset>
                </wp:positionV>
                <wp:extent cx="1542415" cy="3778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579555" y="3595850"/>
                          <a:ext cx="15328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(60، 61)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-863599</wp:posOffset>
                </wp:positionV>
                <wp:extent cx="1542415" cy="377825"/>
                <wp:effectExtent b="0" l="0" r="0" t="0"/>
                <wp:wrapNone/>
                <wp:docPr id="43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1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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أجره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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تنقصون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2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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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مالوا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الجناح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للطائر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الإثم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وللسلم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الاستسلام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لغتان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44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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واقبل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يختلط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ويسمعوا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ويشاهدوا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داعيا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فوض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دفع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خديعة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وطلبا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لغرة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2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لأقوالهم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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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بأفعالهم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وضمائرهم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محكمة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المشركون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رمته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مخصوصة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لاتصالها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بقصتهم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26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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تصريح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vertAlign w:val="baseline"/>
          <w:rtl w:val="0"/>
        </w:rPr>
        <w:t xml:space="preserve">[.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كافيك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يستوي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والمفرد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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بإحداث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والتوادد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التباغض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والتماقت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المتكاثرة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المتطاولة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والخزرج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أبدل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والأخوة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تذاكروا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اث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الغلبة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للأوس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تداعى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القبيلتان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فجاءهم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أتدعون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بدعاية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الجاهلية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وأنا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أظهركم</w:t>
      </w:r>
      <w:r w:rsidDel="00000000" w:rsidR="00000000" w:rsidRPr="00000000">
        <w:rPr>
          <w:b w:val="1"/>
          <w:vertAlign w:val="baseline"/>
          <w:rtl w:val="1"/>
        </w:rPr>
        <w:t xml:space="preserve">؟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» </w:t>
      </w:r>
      <w:r w:rsidDel="00000000" w:rsidR="00000000" w:rsidRPr="00000000">
        <w:rPr>
          <w:vertAlign w:val="baseline"/>
          <w:rtl w:val="1"/>
        </w:rPr>
        <w:t xml:space="preserve">فعلموا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فندموا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وتعانقوا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-495299</wp:posOffset>
                </wp:positionV>
                <wp:extent cx="1499235" cy="3778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601145" y="3595850"/>
                          <a:ext cx="148971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(62، 63)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-495299</wp:posOffset>
                </wp:positionV>
                <wp:extent cx="1499235" cy="377825"/>
                <wp:effectExtent b="0" l="0" r="0" t="0"/>
                <wp:wrapNone/>
                <wp:docPr id="27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23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لتمكن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دهرا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طويلا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والثارات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-457199</wp:posOffset>
                </wp:positionV>
                <wp:extent cx="1499870" cy="3778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600828" y="3595850"/>
                          <a:ext cx="149034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(63، 64)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-457199</wp:posOffset>
                </wp:positionV>
                <wp:extent cx="1499870" cy="377825"/>
                <wp:effectExtent b="0" l="0" r="0" t="0"/>
                <wp:wrapNone/>
                <wp:docPr id="28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87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يقلبها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يغلبه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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متقن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صنعه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جعلهم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كلمته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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حصر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كفايته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جريا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الوسائط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المرفوع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النصب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.............................</w:t>
        <w:tab/>
        <w:tab/>
      </w:r>
      <w:r w:rsidDel="00000000" w:rsidR="00000000" w:rsidRPr="00000000">
        <w:rPr>
          <w:vertAlign w:val="baseline"/>
          <w:rtl w:val="1"/>
        </w:rPr>
        <w:t xml:space="preserve">فحسبك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والضحاك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سيف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مهند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مجرور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عطفا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المجرور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33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يحثهم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المرض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،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صابرة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الغلبة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وعلل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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قلوبهم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ثوابا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باعثا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المصابرة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الدرجات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34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الوليد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بنفسه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الجيش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أبطال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بطريق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تموت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خالد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الإقدام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خالد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أخبرني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ذائقة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وأخبرني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غدائي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أستعجل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النعيم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فأسلم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-2006599</wp:posOffset>
                </wp:positionV>
                <wp:extent cx="1063625" cy="3778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-2006599</wp:posOffset>
                </wp:positionV>
                <wp:extent cx="1063625" cy="377825"/>
                <wp:effectExtent b="0" l="0" r="0" t="0"/>
                <wp:wrapNone/>
                <wp:docPr id="35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والكوفيون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والكوفيون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بالتذكير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بالتأنيث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والتذكير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لاعتبار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ومناسبة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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بمقاومة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بمقاومة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للمائتين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للألفين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-1244599</wp:posOffset>
                </wp:positionV>
                <wp:extent cx="1499235" cy="3778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601145" y="3595850"/>
                          <a:ext cx="148971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(65، 66)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-1244599</wp:posOffset>
                </wp:positionV>
                <wp:extent cx="1499235" cy="377825"/>
                <wp:effectExtent b="0" l="0" r="0" t="0"/>
                <wp:wrapNone/>
                <wp:docPr id="2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23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وأعداد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متباينة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الأعداد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ويقاوم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4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4"/>
          <w:szCs w:val="24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4"/>
          <w:szCs w:val="24"/>
          <w:vertAlign w:val="baseline"/>
          <w:rtl w:val="0"/>
        </w:rPr>
        <w:t xml:space="preserve">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4"/>
          <w:szCs w:val="24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4"/>
          <w:szCs w:val="24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4"/>
          <w:szCs w:val="24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4"/>
          <w:szCs w:val="24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4"/>
          <w:szCs w:val="24"/>
          <w:vertAlign w:val="baseline"/>
          <w:rtl w:val="0"/>
        </w:rPr>
        <w:t xml:space="preserve">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وعاصم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لغتان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-850899</wp:posOffset>
                </wp:positionV>
                <wp:extent cx="1489075" cy="3778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606225" y="3595850"/>
                          <a:ext cx="14795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(66، 67)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-850899</wp:posOffset>
                </wp:positionV>
                <wp:extent cx="1489075" cy="377825"/>
                <wp:effectExtent b="0" l="0" r="0" t="0"/>
                <wp:wrapNone/>
                <wp:docPr id="3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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والإعانة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المصابرة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المشروط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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أبوعمرو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بالتأنيث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الأسرى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خانة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الغلظة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والكثافة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للكثرة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وفائدة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ويسعى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غزا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وعشرين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غزوة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وخمسون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لولا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أشق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أمتي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قعدت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خلف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سرية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متاع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لإعزاز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-1993899</wp:posOffset>
                </wp:positionV>
                <wp:extent cx="1063625" cy="3778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-1993899</wp:posOffset>
                </wp:positionV>
                <wp:extent cx="1063625" cy="377825"/>
                <wp:effectExtent b="0" l="0" r="0" t="0"/>
                <wp:wrapNone/>
                <wp:docPr id="31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يأمركم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بالمحاربة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لتنالوا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ثوابه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نواله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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دفع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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والكثرة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الإكثار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أبابكر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ترى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هؤلاء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vertAlign w:val="baseline"/>
          <w:rtl w:val="0"/>
        </w:rPr>
        <w:t xml:space="preserve">"]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وعشيرتك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يرزق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ظهورهم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المهاجرون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والأنصار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ترى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الخطاب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وصناديدهم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عليا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ليضرب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فلان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نسيب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وإنه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أغناك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فداهم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فاختار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إن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مثل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بكر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مثل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إبراهيم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حيث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0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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ومثل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عمر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مثل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نوح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إذ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0"/>
        </w:rPr>
        <w:t xml:space="preserve">: ]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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فنزلت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فدخلت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وأبوبكر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وهما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يبكيان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تباكيت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ع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رض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</w:t>
      </w:r>
      <w:r w:rsidDel="00000000" w:rsidR="00000000" w:rsidRPr="00000000">
        <w:rPr>
          <w:b w:val="1"/>
          <w:vertAlign w:val="baseline"/>
          <w:rtl w:val="1"/>
        </w:rPr>
        <w:t xml:space="preserve">َّ </w:t>
      </w:r>
      <w:r w:rsidDel="00000000" w:rsidR="00000000" w:rsidRPr="00000000">
        <w:rPr>
          <w:b w:val="1"/>
          <w:vertAlign w:val="baseline"/>
          <w:rtl w:val="1"/>
        </w:rPr>
        <w:t xml:space="preserve">عذاب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أصحابك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أخذهم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الفداء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أدنى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هذه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الشجرة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لشجرة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-"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32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يجتهد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الوقائع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ويخطئ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أخطائه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-469899</wp:posOffset>
                </wp:positionV>
                <wp:extent cx="1509395" cy="377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596065" y="3595850"/>
                          <a:ext cx="14998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(67، 68)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-469899</wp:posOffset>
                </wp:positionV>
                <wp:extent cx="1509395" cy="377825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39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اللوح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يؤاخذ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يعذبون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،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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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جئتم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 : « </w:t>
      </w:r>
      <w:r w:rsidDel="00000000" w:rsidR="00000000" w:rsidRPr="00000000">
        <w:rPr>
          <w:b w:val="1"/>
          <w:vertAlign w:val="baseline"/>
          <w:rtl w:val="1"/>
        </w:rPr>
        <w:t xml:space="preserve">لو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نزل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العذاب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نجا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معاذ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أبحت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فكلوا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المجرور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3"/>
      </w:r>
      <w:r w:rsidDel="00000000" w:rsidR="00000000" w:rsidRPr="00000000">
        <w:rPr>
          <w:vertAlign w:val="superscript"/>
          <w:rtl w:val="0"/>
        </w:rPr>
        <w:t xml:space="preserve">)</w:t>
        <w:br w:type="textWrapping"/>
      </w:r>
      <w:r w:rsidDel="00000000" w:rsidR="00000000" w:rsidRPr="00000000">
        <w:rPr>
          <w:vertAlign w:val="baseline"/>
          <w:rtl w:val="0"/>
        </w:rPr>
        <w:t xml:space="preserve">]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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الحلال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-1689099</wp:posOffset>
                </wp:positionV>
                <wp:extent cx="1541780" cy="3778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579873" y="3595850"/>
                          <a:ext cx="153225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(68، 69)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-1689099</wp:posOffset>
                </wp:positionV>
                <wp:extent cx="1541780" cy="377825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78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مخالفته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والإقدام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-888999</wp:posOffset>
                </wp:positionV>
                <wp:extent cx="1531620" cy="3778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584953" y="3595850"/>
                          <a:ext cx="152209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(69، 70)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-888999</wp:posOffset>
                </wp:positionV>
                <wp:extent cx="1531620" cy="377825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-2184399</wp:posOffset>
                </wp:positionH>
                <wp:positionV relativeFrom="paragraph">
                  <wp:posOffset>1092200</wp:posOffset>
                </wp:positionV>
                <wp:extent cx="753110" cy="32893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974208" y="3620298"/>
                          <a:ext cx="74358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112/ب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-2184399</wp:posOffset>
                </wp:positionH>
                <wp:positionV relativeFrom="paragraph">
                  <wp:posOffset>1092200</wp:posOffset>
                </wp:positionV>
                <wp:extent cx="753110" cy="328930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10" cy="328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غفر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الفداء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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بكم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أعطيت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خمسا</w:t>
      </w:r>
      <w:r w:rsidDel="00000000" w:rsidR="00000000" w:rsidRPr="00000000">
        <w:rPr>
          <w:b w:val="1"/>
          <w:vertAlign w:val="baseline"/>
          <w:rtl w:val="1"/>
        </w:rPr>
        <w:t xml:space="preserve">ً </w:t>
      </w:r>
      <w:r w:rsidDel="00000000" w:rsidR="00000000" w:rsidRPr="00000000">
        <w:rPr>
          <w:b w:val="1"/>
          <w:vertAlign w:val="baseline"/>
          <w:rtl w:val="1"/>
        </w:rPr>
        <w:t xml:space="preserve">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يعطهن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قبلي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كان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يبعث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قومه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وبعثت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الأحمر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والأسود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ونصرت</w:t>
      </w:r>
      <w:r w:rsidDel="00000000" w:rsidR="00000000" w:rsidRPr="00000000">
        <w:rPr>
          <w:b w:val="1"/>
          <w:vertAlign w:val="baseline"/>
          <w:rtl w:val="1"/>
        </w:rPr>
        <w:t xml:space="preserve">/ </w:t>
      </w:r>
      <w:r w:rsidDel="00000000" w:rsidR="00000000" w:rsidRPr="00000000">
        <w:rPr>
          <w:b w:val="1"/>
          <w:vertAlign w:val="baseline"/>
          <w:rtl w:val="1"/>
        </w:rPr>
        <w:t xml:space="preserve">بالرعب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مسيرة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شهر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وجعلت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الأرض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مسجدا</w:t>
      </w:r>
      <w:r w:rsidDel="00000000" w:rsidR="00000000" w:rsidRPr="00000000">
        <w:rPr>
          <w:b w:val="1"/>
          <w:vertAlign w:val="baseline"/>
          <w:rtl w:val="1"/>
        </w:rPr>
        <w:t xml:space="preserve">ً، </w:t>
      </w:r>
      <w:r w:rsidDel="00000000" w:rsidR="00000000" w:rsidRPr="00000000">
        <w:rPr>
          <w:b w:val="1"/>
          <w:vertAlign w:val="baseline"/>
          <w:rtl w:val="1"/>
        </w:rPr>
        <w:t xml:space="preserve">وأ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حلت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الغنائم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206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وأ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وتيت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الشفاعة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أبوعمرو</w:t>
      </w:r>
      <w:r w:rsidDel="00000000" w:rsidR="00000000" w:rsidRPr="00000000">
        <w:rPr>
          <w:vertAlign w:val="baseline"/>
          <w:rtl w:val="1"/>
        </w:rPr>
        <w:br w:type="textWrapping"/>
        <w:t xml:space="preserve"></w:t>
      </w:r>
      <w:r w:rsidDel="00000000" w:rsidR="00000000" w:rsidRPr="00000000">
        <w:rPr>
          <w:vertAlign w:val="baseline"/>
          <w:rtl w:val="1"/>
        </w:rPr>
        <w:t xml:space="preserve">الأسارى</w:t>
      </w:r>
      <w:r w:rsidDel="00000000" w:rsidR="00000000" w:rsidRPr="00000000">
        <w:rPr>
          <w:vertAlign w:val="baseline"/>
          <w:rtl w:val="1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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عبدالمطلب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وادعى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مكرها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: "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نعلم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ذلك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منك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ماذا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مني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العيال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وأين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المال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الذي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قلت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لأم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الفضل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إني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ذاهب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وجهي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أدري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يصيبني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فإن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أصابني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شيء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فقد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وضعت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موضع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مالا</w:t>
      </w:r>
      <w:r w:rsidDel="00000000" w:rsidR="00000000" w:rsidRPr="00000000">
        <w:rPr>
          <w:b w:val="1"/>
          <w:vertAlign w:val="baseline"/>
          <w:rtl w:val="1"/>
        </w:rPr>
        <w:t xml:space="preserve">ً </w:t>
      </w:r>
      <w:r w:rsidDel="00000000" w:rsidR="00000000" w:rsidRPr="00000000">
        <w:rPr>
          <w:b w:val="1"/>
          <w:vertAlign w:val="baseline"/>
          <w:rtl w:val="1"/>
        </w:rPr>
        <w:t xml:space="preserve">فأنفقيه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الصبية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الليـل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ففادى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البحرين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-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رآهم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أظنكم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سمعتم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بمجيء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عبيدة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أجل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رسـول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فقـال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أبشروا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الفقر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أخشى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عليكم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ولكن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أخشى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بسط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بسطت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قبلكم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فتنافسوا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فيها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».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أعطني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فاديت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وعقيلا</w:t>
      </w:r>
      <w:r w:rsidDel="00000000" w:rsidR="00000000" w:rsidRPr="00000000">
        <w:rPr>
          <w:vertAlign w:val="baseline"/>
          <w:rtl w:val="1"/>
        </w:rPr>
        <w:t xml:space="preserve">ً"،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خذ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منه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فحشا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ذيله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معي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فاحمله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". [</w:t>
      </w:r>
      <w:r w:rsidDel="00000000" w:rsidR="00000000" w:rsidRPr="00000000">
        <w:rPr>
          <w:vertAlign w:val="baseline"/>
          <w:rtl w:val="1"/>
        </w:rPr>
        <w:t xml:space="preserve">فنثر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معي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فاحمله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فنثر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يحتمله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فأتبعه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بصره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تعجبا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حرصه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أعطاني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وأدناهم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(70)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(70)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سلف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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-876299</wp:posOffset>
                </wp:positionV>
                <wp:extent cx="1924685" cy="3778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388420" y="3595850"/>
                          <a:ext cx="19151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الآيات رقم (70، 71، 72)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-876299</wp:posOffset>
                </wp:positionV>
                <wp:extent cx="1924685" cy="377825"/>
                <wp:effectExtent b="0" l="0" r="0" t="0"/>
                <wp:wrapNone/>
                <wp:docPr id="24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68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إسلامهم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خداعا</w:t>
      </w:r>
      <w:r w:rsidDel="00000000" w:rsidR="00000000" w:rsidRPr="00000000">
        <w:rPr>
          <w:vertAlign w:val="baseline"/>
          <w:rtl w:val="1"/>
        </w:rPr>
        <w:t xml:space="preserve">ً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والخروج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قتالك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فأمكنك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وأسرت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بالضمائر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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يجازي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نيته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أوطانهم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صرفوها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والكراع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الأنفس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صرفها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السماحة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الجهاد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جعلوا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ديارهم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مأوى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المهاجرين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ونصروا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الميراث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نخيل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يجعلون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أموالهم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للمهاجرين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لعبدالرحمن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عوف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زوجتان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أيتهما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أطلقها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فتزوجها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وأهلك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يتوارثون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]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3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2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(72)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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توارث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بينكم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لايتهم</w:t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لغتان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كالوكالة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الزجاج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بالفتح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النصرة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وبالكسر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الإمارة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بالصناعة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ياطة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ياكة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صناعة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(72)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فواجب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نصرهم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يهاجروا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مستضعفين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قادرين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اللحوق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برسـول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عبـاس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رضـي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اليمان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خرجت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والمشركون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متوجهون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تريدون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محمدا</w:t>
      </w:r>
      <w:r w:rsidDel="00000000" w:rsidR="00000000" w:rsidRPr="00000000">
        <w:rPr>
          <w:vertAlign w:val="baseline"/>
          <w:rtl w:val="1"/>
        </w:rPr>
        <w:t xml:space="preserve">ً؟ </w:t>
      </w:r>
      <w:r w:rsidDel="00000000" w:rsidR="00000000" w:rsidRPr="00000000">
        <w:rPr>
          <w:vertAlign w:val="baseline"/>
          <w:rtl w:val="1"/>
        </w:rPr>
        <w:t xml:space="preserve">قلنا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فأخذوا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جئنا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ذكرنا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اذهبوا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المدينة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بعهدهم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وخيانة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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خافية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-2006599</wp:posOffset>
                </wp:positionV>
                <wp:extent cx="1499235" cy="3778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601145" y="3595850"/>
                          <a:ext cx="148971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(72، 73)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-2006599</wp:posOffset>
                </wp:positionV>
                <wp:extent cx="1499235" cy="377825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23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يتوارثون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توارث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وكافر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أين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بمكة</w:t>
      </w:r>
      <w:r w:rsidDel="00000000" w:rsidR="00000000" w:rsidRPr="00000000">
        <w:rPr>
          <w:vertAlign w:val="baseline"/>
          <w:rtl w:val="1"/>
        </w:rPr>
        <w:t xml:space="preserve">؟"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وهل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ترك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لنا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عقيل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دار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أبوطالب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ورثه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يرثه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(73)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أمرتم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بذهاب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ميراثهم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وبالعكس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التقاول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والتقاتل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زوالها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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الولاية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الحب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والبغض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أوثق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عرى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9"/>
      </w:r>
      <w:r w:rsidDel="00000000" w:rsidR="00000000" w:rsidRPr="00000000">
        <w:rPr>
          <w:vertAlign w:val="superscript"/>
          <w:rtl w:val="0"/>
        </w:rPr>
        <w:t xml:space="preserve">)</w:t>
        <w:br w:type="textWrapping"/>
      </w: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-469899</wp:posOffset>
                </wp:positionV>
                <wp:extent cx="1552575" cy="3778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574475" y="3595850"/>
                          <a:ext cx="15430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(73، 74)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-469899</wp:posOffset>
                </wp:positionV>
                <wp:extent cx="1552575" cy="377825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[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أقسام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حظوا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وتبوء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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شريف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انقطاع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[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إيمانكم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هجرتكم</w:t>
      </w:r>
      <w:r w:rsidDel="00000000" w:rsidR="00000000" w:rsidRPr="00000000">
        <w:rPr>
          <w:vertAlign w:val="baseline"/>
          <w:rtl w:val="1"/>
        </w:rPr>
        <w:br w:type="textWrapping"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معدودون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يشملهم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المهاجر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مزية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تسلية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للمتخلف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وترغيب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للسابق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رعاية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-1257299</wp:posOffset>
                </wp:positionV>
                <wp:extent cx="1478915" cy="3778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11305" y="3595850"/>
                          <a:ext cx="14693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(74، 75)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-1257299</wp:posOffset>
                </wp:positionV>
                <wp:extent cx="1478915" cy="377825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التوارث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أبوحنيفة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توريث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الأرحام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1">
      <w:pPr>
        <w:widowControl w:val="0"/>
        <w:bidi w:val="1"/>
        <w:ind w:left="0" w:right="0"/>
        <w:contextualSpacing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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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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كامل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التوارث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للتناصر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والتظاهر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للقرابة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-1244599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(75)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-1244599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58" w:type="default"/>
      <w:footerReference r:id="rId59" w:type="default"/>
      <w:footerReference r:id="rId60" w:type="even"/>
      <w:pgSz w:h="16834" w:w="11907"/>
      <w:pgMar w:bottom="1701" w:top="1985" w:left="1985" w:right="1985" w:header="1134" w:footer="851"/>
      <w:pgNumType w:start="2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(1/389).</w:t>
      </w:r>
    </w:p>
  </w:footnote>
  <w:footnote w:id="1"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(2/626).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باطرين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يبطرون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2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(13/336).</w:t>
        <w:tab/>
      </w:r>
    </w:p>
  </w:footnote>
  <w:footnote w:id="3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(464):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(11/336).</w:t>
      </w:r>
    </w:p>
  </w:footnote>
  <w:footnote w:id="4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(126).</w:t>
      </w:r>
    </w:p>
  </w:footnote>
  <w:footnote w:id="6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كؤوس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(13/578).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(1/386).</w:t>
      </w:r>
    </w:p>
  </w:footnote>
  <w:footnote w:id="7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الأصوليين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للآمدي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(3/54).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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فنهاهم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بالشكر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والإخلاص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والتجدد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174).</w:t>
      </w:r>
    </w:p>
  </w:footnote>
  <w:footnote w:id="9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ولسقي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(4/500):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ويؤيد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(1/386).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قهقر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(6/501)،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قهقر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(5/121).</w:t>
      </w:r>
    </w:p>
  </w:footnote>
  <w:footnote w:id="12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العدنانية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مساكنهم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(3/996)،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(43).</w:t>
      </w:r>
    </w:p>
  </w:footnote>
  <w:footnote w:id="13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تخلفونكم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(1/307).</w:t>
      </w:r>
    </w:p>
  </w:footnote>
  <w:footnote w:id="16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وعروة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(14/7-9).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(2/222).</w:t>
      </w:r>
    </w:p>
  </w:footnote>
  <w:footnote w:id="17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الوسوسة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(2/589).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وجنوده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وألقى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يغلبكم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تقاتلون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آبائكم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تغلبوا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نكص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مدبرا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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(14/10).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التمثيل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التزيين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وسوسة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ونكوصه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(4/500).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وكبارهم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مشهورة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(4/564).</w:t>
      </w:r>
    </w:p>
  </w:footnote>
  <w:footnote w:id="18"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(14/9).</w:t>
      </w:r>
    </w:p>
  </w:footnote>
  <w:footnote w:id="19"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الخزاعي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أبوالمطرف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283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3028).</w:t>
      </w:r>
    </w:p>
  </w:footnote>
  <w:footnote w:id="22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245)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مصنفه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(4/10).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مرسلا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</w:t>
      </w:r>
    </w:p>
  </w:footnote>
  <w:footnote w:id="23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(1/387).</w:t>
      </w:r>
    </w:p>
  </w:footnote>
  <w:footnote w:id="24"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(14/12):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صدورهم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(4/501)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7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(14/14)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(1/680).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(4/501).</w:t>
      </w:r>
    </w:p>
  </w:footnote>
  <w:footnote w:id="28"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(1/387).</w:t>
      </w:r>
    </w:p>
  </w:footnote>
  <w:footnote w:id="29"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مستبعدا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0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(2/590)،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(1/387).</w:t>
      </w:r>
    </w:p>
  </w:footnote>
  <w:footnote w:id="31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(4/80).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2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وأدبارهم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بسياط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يخصصه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33"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59).</w:t>
      </w:r>
    </w:p>
  </w:footnote>
  <w:footnote w:id="34"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(1/342)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لتأنيث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التكسير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التأنيث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الجذوع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فتأنيث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وتذكيره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جائزان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5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سقوط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الأغلب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  <w:br w:type="textWrapping"/>
        <w:t xml:space="preserve">(2/540).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يضعفه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(1/389).</w:t>
      </w:r>
    </w:p>
  </w:footnote>
  <w:footnote w:id="37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38"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39"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</w:footnote>
  <w:footnote w:id="40"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(1/389).</w:t>
      </w:r>
    </w:p>
  </w:footnote>
  <w:footnote w:id="41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مضارعية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يكتفى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(1/387).</w:t>
      </w:r>
    </w:p>
  </w:footnote>
  <w:footnote w:id="42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(14/15)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(2/540)،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(1/387).</w:t>
      </w:r>
    </w:p>
  </w:footnote>
  <w:footnote w:id="45"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(1/680)،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(1/301).</w:t>
      </w:r>
    </w:p>
  </w:footnote>
  <w:footnote w:id="46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(8/28)،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(2/466)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.</w:t>
      </w:r>
    </w:p>
  </w:footnote>
  <w:footnote w:id="47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8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9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الاحتمالين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(2/591).</w:t>
      </w:r>
    </w:p>
  </w:footnote>
  <w:footnote w:id="50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(1/387).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(1/303):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وإيجاب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تعذيبهم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بالتعذيب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ويوضحه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كسبت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بانضمامه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يعذبهم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ذنوبهم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يعذبهم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بذنوبهم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ينتهض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للتعذيب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بسببين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ومعاصيكم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كإثابة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51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52"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3"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4"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(2/591).</w:t>
      </w:r>
    </w:p>
  </w:footnote>
  <w:footnote w:id="55"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ملازمة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فالدأب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(2/321).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(14/202)،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(1/123).</w:t>
      </w:r>
    </w:p>
  </w:footnote>
  <w:footnote w:id="56"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والبهائم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2549)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تجيعه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وتدئبه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(3/188):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7"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8"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(4/1997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ليملي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للظالم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</w:footnote>
  <w:footnote w:id="59"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(13/152)،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(2/487).</w:t>
      </w:r>
    </w:p>
  </w:footnote>
  <w:footnote w:id="60"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(28).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(3/337).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(3/79).</w:t>
      </w:r>
    </w:p>
  </w:footnote>
  <w:footnote w:id="61"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ابتعاثه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أظهرهم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بإخراجهم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وتكذيبهم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وحربهم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(14/19)،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3"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(164).</w:t>
      </w:r>
    </w:p>
  </w:footnote>
  <w:footnote w:id="64"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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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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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(30/199).</w:t>
      </w:r>
    </w:p>
  </w:footnote>
  <w:footnote w:id="65"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(5/94)،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وصيدها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وخلاها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(2/987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446)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يحرمها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لامرئ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يسفك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يعضد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ترخص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بقتال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فقولوا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أذن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لرسوله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يأذن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أذن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حرمتها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كحرمتها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(2/27).</w:t>
      </w:r>
    </w:p>
  </w:footnote>
  <w:footnote w:id="66"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7"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الأوباش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الأخلاط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والسفلة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(3/1024)،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785).</w:t>
      </w:r>
    </w:p>
  </w:footnote>
  <w:footnote w:id="68"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أناموه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(5/131).</w:t>
      </w:r>
    </w:p>
  </w:footnote>
  <w:footnote w:id="69"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خضراء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دهماؤهم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وسوادهم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(2/42).</w:t>
      </w:r>
    </w:p>
  </w:footnote>
  <w:footnote w:id="70"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1780)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71"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(1/388).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ورباهم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بآلائه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(4/493):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مربيهم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72"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3"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4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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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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(22).</w:t>
      </w:r>
    </w:p>
  </w:footnote>
  <w:footnote w:id="76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7"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(1/388).</w:t>
      </w:r>
    </w:p>
  </w:footnote>
  <w:footnote w:id="78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9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(1/310).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(2/467)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(4/81).</w:t>
      </w:r>
    </w:p>
  </w:footnote>
  <w:footnote w:id="80"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باليهودية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إيذاء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والتشبيب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بالمسلمات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(2/38).</w:t>
      </w:r>
    </w:p>
  </w:footnote>
  <w:footnote w:id="81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2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طاغوت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119).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83"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4"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85"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إجلاؤهم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إجلائهم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يستعينهم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نعينك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أحببت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بالتهيؤ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لقتالهم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وحاصروهم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نخيلهم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فصالحهم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بنفوسهم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وذراريهم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(3/127، 248).</w:t>
      </w:r>
    </w:p>
  </w:footnote>
  <w:footnote w:id="86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حاربوا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فأجلى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حاربت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نساءهم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وأولادهم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62).</w:t>
      </w:r>
    </w:p>
  </w:footnote>
  <w:footnote w:id="87"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8"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(5/51)،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(3/1388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02/74)،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(2/496).</w:t>
      </w:r>
    </w:p>
  </w:footnote>
  <w:footnote w:id="89"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(1/388).</w:t>
      </w:r>
    </w:p>
  </w:footnote>
  <w:footnote w:id="91"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92"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(4/1334)،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(9/19).</w:t>
      </w:r>
    </w:p>
  </w:footnote>
  <w:footnote w:id="93"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(11/320)،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(3/237).</w:t>
      </w:r>
    </w:p>
  </w:footnote>
  <w:footnote w:id="94"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(4/22).</w:t>
      </w:r>
    </w:p>
  </w:footnote>
  <w:footnote w:id="95"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(1/388).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الخائنين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عاهدهم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(4/505).</w:t>
      </w:r>
    </w:p>
  </w:footnote>
  <w:footnote w:id="96"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7"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والموادعة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والفاجر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(3/1359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9-16)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</w:footnote>
  <w:footnote w:id="98"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سيتضح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9"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(2/468).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(3/374).</w:t>
      </w:r>
    </w:p>
  </w:footnote>
  <w:footnote w:id="100"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(1/390).</w:t>
      </w:r>
    </w:p>
  </w:footnote>
  <w:footnote w:id="101"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96).</w:t>
      </w:r>
    </w:p>
  </w:footnote>
  <w:footnote w:id="102"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02/421)،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(1/350).</w:t>
      </w:r>
    </w:p>
  </w:footnote>
  <w:footnote w:id="103"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(5/623).</w:t>
      </w:r>
    </w:p>
  </w:footnote>
  <w:footnote w:id="104"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(14/28):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أسانيدها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مردودة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973).</w:t>
      </w:r>
    </w:p>
  </w:footnote>
  <w:footnote w:id="105"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القعقاع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وتتلمذ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(8/353)،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(2/382).</w:t>
      </w:r>
    </w:p>
  </w:footnote>
  <w:footnote w:id="106"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(2/277).</w:t>
      </w:r>
    </w:p>
  </w:footnote>
  <w:footnote w:id="107"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محيصن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السهمي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محيصن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8"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214).</w:t>
      </w:r>
    </w:p>
  </w:footnote>
  <w:footnote w:id="109"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الأجلاء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يسمونه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(1/343).</w:t>
      </w:r>
    </w:p>
  </w:footnote>
  <w:footnote w:id="110"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(5/624).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(4/505).</w:t>
      </w:r>
    </w:p>
  </w:footnote>
  <w:footnote w:id="111"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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(1/494).</w:t>
      </w:r>
    </w:p>
  </w:footnote>
  <w:footnote w:id="112"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228).</w:t>
      </w:r>
    </w:p>
  </w:footnote>
  <w:footnote w:id="113"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يحسبن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(1/683).</w:t>
      </w:r>
    </w:p>
  </w:footnote>
  <w:footnote w:id="114"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96).</w:t>
      </w:r>
    </w:p>
  </w:footnote>
  <w:footnote w:id="115"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(2/630).</w:t>
      </w:r>
    </w:p>
  </w:footnote>
  <w:footnote w:id="116"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واستظهره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(4/506).</w:t>
      </w:r>
    </w:p>
  </w:footnote>
  <w:footnote w:id="117"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8"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بفائتين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9"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0"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(8/314):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يفوتون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المناصبة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والمحاربة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والمغالبة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اعتمادا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أتبعه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بمسبباتها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21"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167).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فعزوه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2"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3"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الفروسية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وتفضيله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ضروب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الفروسية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116، 124، 135).</w:t>
      </w:r>
    </w:p>
  </w:footnote>
  <w:footnote w:id="124"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169)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 .</w:t>
      </w:r>
    </w:p>
  </w:footnote>
  <w:footnote w:id="125"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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ربطها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واقتناؤها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للغزو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(3/375).</w:t>
      </w:r>
    </w:p>
  </w:footnote>
  <w:footnote w:id="126"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واستظهره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(4/507).</w:t>
      </w:r>
    </w:p>
  </w:footnote>
  <w:footnote w:id="127"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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(98).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28"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(2/277).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(8/399)،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(1/157).</w:t>
      </w:r>
    </w:p>
  </w:footnote>
  <w:footnote w:id="129"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(5/628).</w:t>
      </w:r>
    </w:p>
  </w:footnote>
  <w:footnote w:id="130"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(1/389).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1"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2"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(4/26).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(4/97).</w:t>
      </w:r>
    </w:p>
  </w:footnote>
  <w:footnote w:id="133"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(14/36)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مرفوعا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(4/26).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يعرفون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عداوته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ûï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(8/38).</w:t>
      </w:r>
    </w:p>
  </w:footnote>
  <w:footnote w:id="134"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5"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180).</w:t>
      </w:r>
    </w:p>
  </w:footnote>
  <w:footnote w:id="136"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)(1/484):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والعدوان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الجناحان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جناحين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لميلهما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7"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8"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بالاستسلام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(14/40):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مسالمتك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ومتاركتك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بموادعة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فاجنح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منسوخة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موكول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واجتهاده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موكولا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(4/509).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(12/290).</w:t>
      </w:r>
    </w:p>
  </w:footnote>
  <w:footnote w:id="139"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96).</w:t>
      </w:r>
    </w:p>
  </w:footnote>
  <w:footnote w:id="140"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(2/394)،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(12/293).</w:t>
      </w:r>
    </w:p>
  </w:footnote>
  <w:footnote w:id="141"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1095).</w:t>
      </w:r>
    </w:p>
  </w:footnote>
  <w:footnote w:id="142"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فسمعوا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وأزيلت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3"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4"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(4/510).</w:t>
      </w:r>
    </w:p>
  </w:footnote>
  <w:footnote w:id="145"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(14/41)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منسوخة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والمنسوخ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194)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بقتالهم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مهادنتهم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منافاة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المتأخرين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148).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(2/876)،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(4/27).</w:t>
      </w:r>
    </w:p>
  </w:footnote>
  <w:footnote w:id="146"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(4/27).</w:t>
      </w:r>
    </w:p>
  </w:footnote>
  <w:footnote w:id="147"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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يسلموا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يدفعوا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والمجوس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كفائيا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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مأذونا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إيجابه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(8/345)،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(3/70-71).</w:t>
      </w:r>
    </w:p>
  </w:footnote>
  <w:footnote w:id="148"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(14/42).</w:t>
      </w:r>
    </w:p>
  </w:footnote>
  <w:footnote w:id="149"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(4/27)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المقطوع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يهادنوا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وثنيين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تستدعي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الهدنة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يدفعونها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موكول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واجتهاده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وتقديره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للمصلحة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(2/876)،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(4/28).</w:t>
      </w:r>
    </w:p>
  </w:footnote>
  <w:footnote w:id="150"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1"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2"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3"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4"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أبوأسيد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حضير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فقتلا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73).</w:t>
      </w:r>
    </w:p>
  </w:footnote>
  <w:footnote w:id="155"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(7/55)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(2/278).</w:t>
      </w:r>
    </w:p>
  </w:footnote>
  <w:footnote w:id="156"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7"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163).</w:t>
      </w:r>
    </w:p>
  </w:footnote>
  <w:footnote w:id="158"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(4/510).</w:t>
      </w:r>
    </w:p>
  </w:footnote>
  <w:footnote w:id="159"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(1/35).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0"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وانشقت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ab/>
        <w:t xml:space="preserve">................................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(7/581)،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(1/312)،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(5/632).</w:t>
      </w:r>
    </w:p>
  </w:footnote>
  <w:footnote w:id="161"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</w:p>
  </w:footnote>
  <w:footnote w:id="162"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معطوفة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(5/632).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متلازمان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وحسبك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اتبعك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(1/293)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أفردوه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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وأتباعك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(1/36).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5" w:cs="HQPB5" w:eastAsia="HQPB5" w:hAnsi="HQPB5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(36).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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آتاه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تبليغ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ونهيه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وتحليله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وتحريمه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ووعيده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(1/293).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(8/92)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محتجا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فتبصر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(14/48)،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(4/501).</w:t>
      </w:r>
    </w:p>
  </w:footnote>
  <w:footnote w:id="163"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(4/230)،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(7/134).</w:t>
      </w:r>
    </w:p>
  </w:footnote>
  <w:footnote w:id="164"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(2/423):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تأويله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حثهم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التحريض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5"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(1/390).</w:t>
      </w:r>
    </w:p>
  </w:footnote>
  <w:footnote w:id="166"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الحاذق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عسكريا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بطارقة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والألقاب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التاريخية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(81).</w:t>
      </w:r>
    </w:p>
  </w:footnote>
  <w:footnote w:id="167"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8"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9"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0"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 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والباقون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والكوفيون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1"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بالتأنيث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تأنيث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(2/584).</w:t>
      </w:r>
    </w:p>
  </w:footnote>
  <w:footnote w:id="172"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3"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4"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ويقاوم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5"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(1/390).</w:t>
      </w:r>
    </w:p>
  </w:footnote>
  <w:footnote w:id="176"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(96).</w:t>
      </w:r>
    </w:p>
  </w:footnote>
  <w:footnote w:id="177"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(4/31-33)،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(247).</w:t>
      </w:r>
    </w:p>
  </w:footnote>
  <w:footnote w:id="178"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(96).</w:t>
      </w:r>
    </w:p>
  </w:footnote>
  <w:footnote w:id="179"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(4/514). 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المختومة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التأنيث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التأنيث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إلىلفظها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(4/289).</w:t>
      </w:r>
    </w:p>
  </w:footnote>
  <w:footnote w:id="180"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(1/359).</w:t>
      </w:r>
    </w:p>
  </w:footnote>
  <w:footnote w:id="181"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2"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الغزوات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وعشرون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وأربعون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(4/264)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الغزوات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وعشرون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والسرايا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وثلاثون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وبعوثه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وسراياه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(1/129).</w:t>
      </w:r>
    </w:p>
  </w:footnote>
  <w:footnote w:id="183"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(3/1496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103)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184"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(1/391).</w:t>
      </w:r>
    </w:p>
  </w:footnote>
  <w:footnote w:id="185"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(4).</w:t>
      </w:r>
    </w:p>
  </w:footnote>
  <w:footnote w:id="186"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87"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8"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9"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لنسيب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0"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(36).</w:t>
      </w:r>
    </w:p>
  </w:footnote>
  <w:footnote w:id="191"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(26).</w:t>
      </w:r>
    </w:p>
  </w:footnote>
  <w:footnote w:id="192"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3632)،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(243).</w:t>
      </w:r>
    </w:p>
  </w:footnote>
  <w:footnote w:id="193"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المنقولة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(10/293).</w:t>
      </w:r>
    </w:p>
  </w:footnote>
  <w:footnote w:id="194"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5"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(14/70)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يؤاخذ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بجهالة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وحكاه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(2/472)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(2/601).</w:t>
      </w:r>
    </w:p>
  </w:footnote>
  <w:footnote w:id="196"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(14/69).</w:t>
      </w:r>
    </w:p>
  </w:footnote>
  <w:footnote w:id="197"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8"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والأعمش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</w:t>
        <w:br w:type="textWrapping"/>
        <w:t xml:space="preserve">(14/65-66)،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(180)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(2/32).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المحفوظ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هداهم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شهدتموه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لنالكم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بأخذكم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(14/64)،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(28).</w:t>
      </w:r>
    </w:p>
  </w:footnote>
  <w:footnote w:id="199"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مرفوعا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لانقطاعه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(6/177).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(4/108):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مردويه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يصيبنا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0"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الإثخان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استبقاء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</w:footnote>
  <w:footnote w:id="201"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2"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(1/391).</w:t>
      </w:r>
    </w:p>
  </w:footnote>
  <w:footnote w:id="203"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والوجهان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(1/392).</w:t>
      </w:r>
    </w:p>
  </w:footnote>
  <w:footnote w:id="204"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5"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6"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7"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(115).</w:t>
      </w:r>
    </w:p>
  </w:footnote>
  <w:footnote w:id="208"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(2/655).</w:t>
      </w:r>
    </w:p>
  </w:footnote>
  <w:footnote w:id="209"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(1/289).</w:t>
      </w:r>
    </w:p>
  </w:footnote>
  <w:footnote w:id="210"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(173).</w:t>
      </w:r>
    </w:p>
  </w:footnote>
  <w:footnote w:id="211"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2"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عائشـة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3310)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(14/73)،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النـزول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(245).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ونوفل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فاداهما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وحليفه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3"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4"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5"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6"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7"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8"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(7/172)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القسمة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(1/516)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(6/286)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تنبيهان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مستدركه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طهمان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طهمان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(1/516).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طهمان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الجراح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فسمعت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بقدومه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فيستفاد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(6/527).</w:t>
      </w:r>
    </w:p>
  </w:footnote>
  <w:footnote w:id="219"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(249). 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ويتجر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الدنانير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651).</w:t>
      </w:r>
    </w:p>
  </w:footnote>
  <w:footnote w:id="220"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(14/78-81)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(1/2/262)،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(4/113-116).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وأعوان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وأيديهم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أقربائهم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(14/77-78)،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  <w:br w:type="textWrapping"/>
        <w:t xml:space="preserve">(14/88).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</w:footnote>
  <w:footnote w:id="221"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2"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223"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(75).</w:t>
      </w:r>
    </w:p>
  </w:footnote>
  <w:footnote w:id="224"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(251).</w:t>
      </w:r>
    </w:p>
  </w:footnote>
  <w:footnote w:id="225"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(2/565).</w:t>
      </w:r>
    </w:p>
  </w:footnote>
  <w:footnote w:id="226"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وأعلمهم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والتثنية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(10/118)،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(2/333).</w:t>
      </w:r>
    </w:p>
  </w:footnote>
  <w:footnote w:id="227"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مواريثهم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يفتحها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ويختارون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سمعناهما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(1/419).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(2/548).</w:t>
      </w:r>
    </w:p>
  </w:footnote>
  <w:footnote w:id="228"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(15/449)،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(4/518).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والحياكة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(1211).</w:t>
      </w:r>
    </w:p>
  </w:footnote>
  <w:footnote w:id="229"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0"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يهاجروا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مستضعفين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قادرين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اللحوق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يهاجروا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حكمهـم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</w:t>
      </w:r>
    </w:p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يهاجروا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أقاموا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بواديهم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حضروا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مستضعفا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؟.</w:t>
      </w:r>
    </w:p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(14/81).</w:t>
      </w:r>
    </w:p>
  </w:footnote>
  <w:footnote w:id="231"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2"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(5/181).</w:t>
      </w:r>
    </w:p>
  </w:footnote>
  <w:footnote w:id="233"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وتتمته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بعهدهم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ونستعين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</w:footnote>
  <w:footnote w:id="234"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(2/984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5"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الاستيلاء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وشرائها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ورثها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زوجته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خديجة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والمواريث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نصيبهم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ينكحون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(160).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للأزرقي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(2/598، 599)،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(3/452)، (8/327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36"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7"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8"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(2/604):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أمرتكم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ومفسدة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يصيروا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زائدا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(1/392):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9"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(4/286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18547)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(10/272)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(2/181).</w:t>
      </w:r>
    </w:p>
  </w:footnote>
  <w:footnote w:id="240"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(28).</w:t>
      </w:r>
    </w:p>
  </w:footnote>
  <w:footnote w:id="241"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2"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3"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4"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tab/>
        <w:tab/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tab/>
        <w:tab/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الإخوة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الإخوة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tab/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tab/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 xml:space="preserve">7-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tab/>
        <w:tab/>
        <w:t xml:space="preserve">8-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tab/>
        <w:tab/>
        <w:tab/>
        <w:t xml:space="preserve">9-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 xml:space="preserve">10-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tab/>
        <w:tab/>
        <w:t xml:space="preserve">11-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(2/15).</w:t>
      </w:r>
    </w:p>
  </w:footnote>
  <w:footnote w:id="245"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الفرضيين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الفرضيين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بعمومها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والعصبات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(4/43).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والحنابلة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(7).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وارث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وارث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2104)،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(8/105)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بشرحه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أعطى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لوارث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(8/72)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(6/309)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(2/112).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فأنـزل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(4/98).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جبريل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(4/99).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الراجح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(8/109)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أعطى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إبطال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إرثهم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(3/94).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دائرا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بالورثة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2/33-34)،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شاركوا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(6/229)،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(6/179)،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(2/418).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الأنفال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8.png"/><Relationship Id="rId42" Type="http://schemas.openxmlformats.org/officeDocument/2006/relationships/image" Target="media/image62.png"/><Relationship Id="rId41" Type="http://schemas.openxmlformats.org/officeDocument/2006/relationships/image" Target="media/image60.png"/><Relationship Id="rId44" Type="http://schemas.openxmlformats.org/officeDocument/2006/relationships/image" Target="media/image28.png"/><Relationship Id="rId43" Type="http://schemas.openxmlformats.org/officeDocument/2006/relationships/image" Target="media/image64.png"/><Relationship Id="rId46" Type="http://schemas.openxmlformats.org/officeDocument/2006/relationships/image" Target="media/image32.png"/><Relationship Id="rId45" Type="http://schemas.openxmlformats.org/officeDocument/2006/relationships/image" Target="media/image3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48" Type="http://schemas.openxmlformats.org/officeDocument/2006/relationships/image" Target="media/image44.png"/><Relationship Id="rId47" Type="http://schemas.openxmlformats.org/officeDocument/2006/relationships/image" Target="media/image42.png"/><Relationship Id="rId49" Type="http://schemas.openxmlformats.org/officeDocument/2006/relationships/image" Target="media/image46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6.png"/><Relationship Id="rId8" Type="http://schemas.openxmlformats.org/officeDocument/2006/relationships/image" Target="media/image14.png"/><Relationship Id="rId31" Type="http://schemas.openxmlformats.org/officeDocument/2006/relationships/image" Target="media/image86.png"/><Relationship Id="rId30" Type="http://schemas.openxmlformats.org/officeDocument/2006/relationships/image" Target="media/image84.png"/><Relationship Id="rId33" Type="http://schemas.openxmlformats.org/officeDocument/2006/relationships/image" Target="media/image50.png"/><Relationship Id="rId32" Type="http://schemas.openxmlformats.org/officeDocument/2006/relationships/image" Target="media/image88.png"/><Relationship Id="rId35" Type="http://schemas.openxmlformats.org/officeDocument/2006/relationships/image" Target="media/image54.png"/><Relationship Id="rId34" Type="http://schemas.openxmlformats.org/officeDocument/2006/relationships/image" Target="media/image52.png"/><Relationship Id="rId37" Type="http://schemas.openxmlformats.org/officeDocument/2006/relationships/image" Target="media/image66.png"/><Relationship Id="rId36" Type="http://schemas.openxmlformats.org/officeDocument/2006/relationships/image" Target="media/image56.png"/><Relationship Id="rId39" Type="http://schemas.openxmlformats.org/officeDocument/2006/relationships/image" Target="media/image70.png"/><Relationship Id="rId38" Type="http://schemas.openxmlformats.org/officeDocument/2006/relationships/image" Target="media/image68.png"/><Relationship Id="rId20" Type="http://schemas.openxmlformats.org/officeDocument/2006/relationships/image" Target="media/image98.png"/><Relationship Id="rId22" Type="http://schemas.openxmlformats.org/officeDocument/2006/relationships/image" Target="media/image74.png"/><Relationship Id="rId21" Type="http://schemas.openxmlformats.org/officeDocument/2006/relationships/image" Target="media/image100.png"/><Relationship Id="rId24" Type="http://schemas.openxmlformats.org/officeDocument/2006/relationships/image" Target="media/image78.png"/><Relationship Id="rId23" Type="http://schemas.openxmlformats.org/officeDocument/2006/relationships/image" Target="media/image76.png"/><Relationship Id="rId60" Type="http://schemas.openxmlformats.org/officeDocument/2006/relationships/footer" Target="footer2.xml"/><Relationship Id="rId26" Type="http://schemas.openxmlformats.org/officeDocument/2006/relationships/image" Target="media/image72.png"/><Relationship Id="rId25" Type="http://schemas.openxmlformats.org/officeDocument/2006/relationships/image" Target="media/image80.png"/><Relationship Id="rId28" Type="http://schemas.openxmlformats.org/officeDocument/2006/relationships/image" Target="media/image92.png"/><Relationship Id="rId27" Type="http://schemas.openxmlformats.org/officeDocument/2006/relationships/image" Target="media/image90.png"/><Relationship Id="rId29" Type="http://schemas.openxmlformats.org/officeDocument/2006/relationships/image" Target="media/image82.png"/><Relationship Id="rId51" Type="http://schemas.openxmlformats.org/officeDocument/2006/relationships/image" Target="media/image34.png"/><Relationship Id="rId50" Type="http://schemas.openxmlformats.org/officeDocument/2006/relationships/image" Target="media/image48.png"/><Relationship Id="rId53" Type="http://schemas.openxmlformats.org/officeDocument/2006/relationships/image" Target="media/image38.png"/><Relationship Id="rId52" Type="http://schemas.openxmlformats.org/officeDocument/2006/relationships/image" Target="media/image36.png"/><Relationship Id="rId11" Type="http://schemas.openxmlformats.org/officeDocument/2006/relationships/image" Target="media/image8.png"/><Relationship Id="rId55" Type="http://schemas.openxmlformats.org/officeDocument/2006/relationships/image" Target="media/image22.png"/><Relationship Id="rId10" Type="http://schemas.openxmlformats.org/officeDocument/2006/relationships/image" Target="media/image18.png"/><Relationship Id="rId54" Type="http://schemas.openxmlformats.org/officeDocument/2006/relationships/image" Target="media/image40.png"/><Relationship Id="rId13" Type="http://schemas.openxmlformats.org/officeDocument/2006/relationships/image" Target="media/image12.png"/><Relationship Id="rId57" Type="http://schemas.openxmlformats.org/officeDocument/2006/relationships/image" Target="media/image26.png"/><Relationship Id="rId12" Type="http://schemas.openxmlformats.org/officeDocument/2006/relationships/image" Target="media/image6.png"/><Relationship Id="rId56" Type="http://schemas.openxmlformats.org/officeDocument/2006/relationships/image" Target="media/image24.png"/><Relationship Id="rId15" Type="http://schemas.openxmlformats.org/officeDocument/2006/relationships/image" Target="media/image4.png"/><Relationship Id="rId59" Type="http://schemas.openxmlformats.org/officeDocument/2006/relationships/footer" Target="footer1.xml"/><Relationship Id="rId14" Type="http://schemas.openxmlformats.org/officeDocument/2006/relationships/image" Target="media/image10.png"/><Relationship Id="rId58" Type="http://schemas.openxmlformats.org/officeDocument/2006/relationships/header" Target="header1.xml"/><Relationship Id="rId17" Type="http://schemas.openxmlformats.org/officeDocument/2006/relationships/image" Target="media/image102.png"/><Relationship Id="rId16" Type="http://schemas.openxmlformats.org/officeDocument/2006/relationships/image" Target="media/image2.png"/><Relationship Id="rId19" Type="http://schemas.openxmlformats.org/officeDocument/2006/relationships/image" Target="media/image96.png"/><Relationship Id="rId18" Type="http://schemas.openxmlformats.org/officeDocument/2006/relationships/image" Target="media/image9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