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bidi w:val="1"/>
        <w:ind w:left="0" w:right="0" w:hanging="2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الخاتمــة</w:t>
      </w:r>
    </w:p>
    <w:p w:rsidR="00000000" w:rsidDel="00000000" w:rsidP="00000000" w:rsidRDefault="00000000" w:rsidRPr="00000000" w14:paraId="00000001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الهادي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الطيبين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الطاهرين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ختام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الصفحات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واستعرضنا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جزءا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: (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الرباني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النتائج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توصلت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البحث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 </w:t>
      </w:r>
      <w:r w:rsidDel="00000000" w:rsidR="00000000" w:rsidRPr="00000000">
        <w:rPr>
          <w:vertAlign w:val="baseline"/>
          <w:rtl w:val="1"/>
        </w:rPr>
        <w:t xml:space="preserve">مكانة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ومنـزلته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بالتدريس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والإفتاء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مؤلفاته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سطرها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وعلومه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 </w:t>
      </w:r>
      <w:r w:rsidDel="00000000" w:rsidR="00000000" w:rsidRPr="00000000">
        <w:rPr>
          <w:vertAlign w:val="baseline"/>
          <w:rtl w:val="1"/>
        </w:rPr>
        <w:t xml:space="preserve">يعتبر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قارناه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الأوجه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الاستقراء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تحقيقه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المنهج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الرغم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يصنف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الممدوح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تبرز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بالمأثور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واهتمامه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إقباله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وتلقيه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 </w:t>
      </w:r>
      <w:r w:rsidDel="00000000" w:rsidR="00000000" w:rsidRPr="00000000">
        <w:rPr>
          <w:vertAlign w:val="baseline"/>
          <w:rtl w:val="1"/>
        </w:rPr>
        <w:t xml:space="preserve">والمؤلف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أشعري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تعصبه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 </w:t>
      </w:r>
      <w:r w:rsidDel="00000000" w:rsidR="00000000" w:rsidRPr="00000000">
        <w:rPr>
          <w:vertAlign w:val="baseline"/>
          <w:rtl w:val="1"/>
        </w:rPr>
        <w:t xml:space="preserve">ومع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7-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تصديرها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8- </w:t>
      </w:r>
      <w:r w:rsidDel="00000000" w:rsidR="00000000" w:rsidRPr="00000000">
        <w:rPr>
          <w:vertAlign w:val="baseline"/>
          <w:rtl w:val="1"/>
        </w:rPr>
        <w:t xml:space="preserve">ظهرت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شخصية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ترجيحاته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واختياراته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9-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البارزة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التعقبات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والبيضاوي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المجرد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10- </w:t>
      </w:r>
      <w:r w:rsidDel="00000000" w:rsidR="00000000" w:rsidRPr="00000000">
        <w:rPr>
          <w:vertAlign w:val="baseline"/>
          <w:rtl w:val="1"/>
        </w:rPr>
        <w:t xml:space="preserve">اهتم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حججها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وعللها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11-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والبلاغية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رحم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وأسكنه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جناته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ورزقنا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النافع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صالحا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ولوجهه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خالصا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أجمعين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/>
      <w:pgMar w:bottom="1701" w:top="1985" w:left="1701" w:right="1985" w:header="1134" w:footer="851"/>
      <w:pgNumType w:start="1093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16"/>
        <w:szCs w:val="116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الخاتمـــــــة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ind w:left="0" w:right="0" w:firstLine="720"/>
      <w:jc w:val="center"/>
    </w:pPr>
    <w:rPr>
      <w:sz w:val="66"/>
      <w:szCs w:val="66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