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279400</wp:posOffset>
                </wp:positionV>
                <wp:extent cx="4994910" cy="27546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77120" y="2431260"/>
                          <a:ext cx="4937760" cy="269748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thinThick" w="571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القسم الأول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الدراســــة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279400</wp:posOffset>
                </wp:positionV>
                <wp:extent cx="4994910" cy="275463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4910" cy="275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Heading1"/>
        <w:keepNext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bidi w:val="1"/>
        <w:ind w:left="0" w:right="0"/>
        <w:contextualSpacing w:val="0"/>
        <w:jc w:val="center"/>
        <w:rPr>
          <w:sz w:val="60"/>
          <w:szCs w:val="60"/>
          <w:vertAlign w:val="baseline"/>
        </w:rPr>
      </w:pPr>
      <w:r w:rsidDel="00000000" w:rsidR="00000000" w:rsidRPr="00000000">
        <w:rPr>
          <w:sz w:val="60"/>
          <w:szCs w:val="60"/>
          <w:vertAlign w:val="baseline"/>
          <w:rtl w:val="1"/>
        </w:rPr>
        <w:t xml:space="preserve">الباب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 </w:t>
      </w:r>
      <w:r w:rsidDel="00000000" w:rsidR="00000000" w:rsidRPr="00000000">
        <w:rPr>
          <w:sz w:val="60"/>
          <w:szCs w:val="60"/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0B">
      <w:pPr>
        <w:pStyle w:val="Heading2"/>
        <w:keepNext w:val="0"/>
        <w:bidi w:val="1"/>
        <w:ind w:left="0" w:right="0"/>
        <w:contextualSpacing w:val="0"/>
        <w:jc w:val="center"/>
        <w:rPr>
          <w:sz w:val="60"/>
          <w:szCs w:val="6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bidi w:val="1"/>
        <w:ind w:left="0" w:right="0"/>
        <w:contextualSpacing w:val="0"/>
        <w:jc w:val="center"/>
        <w:rPr>
          <w:sz w:val="46"/>
          <w:szCs w:val="46"/>
          <w:vertAlign w:val="baseline"/>
        </w:rPr>
      </w:pPr>
      <w:r w:rsidDel="00000000" w:rsidR="00000000" w:rsidRPr="00000000">
        <w:rPr>
          <w:sz w:val="46"/>
          <w:szCs w:val="46"/>
          <w:vertAlign w:val="baseline"/>
          <w:rtl w:val="1"/>
        </w:rPr>
        <w:t xml:space="preserve">الشيخ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 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أحمد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 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بن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 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إسماعيل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 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الكوراني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 -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رحمه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 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الله</w:t>
      </w:r>
      <w:r w:rsidDel="00000000" w:rsidR="00000000" w:rsidRPr="00000000">
        <w:rPr>
          <w:sz w:val="46"/>
          <w:szCs w:val="46"/>
          <w:vertAlign w:val="baseline"/>
          <w:rtl w:val="1"/>
        </w:rPr>
        <w:t xml:space="preserve">-</w:t>
      </w:r>
    </w:p>
    <w:p w:rsidR="00000000" w:rsidDel="00000000" w:rsidP="00000000" w:rsidRDefault="00000000" w:rsidRPr="00000000" w14:paraId="0000000D">
      <w:pPr>
        <w:bidi w:val="1"/>
        <w:ind w:left="0" w:right="0"/>
        <w:contextualSpacing w:val="0"/>
        <w:jc w:val="both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bidi w:val="1"/>
        <w:ind w:left="0" w:right="0"/>
        <w:contextualSpacing w:val="0"/>
        <w:jc w:val="center"/>
        <w:rPr>
          <w:sz w:val="74"/>
          <w:szCs w:val="74"/>
          <w:vertAlign w:val="baseline"/>
        </w:rPr>
      </w:pPr>
      <w:r w:rsidDel="00000000" w:rsidR="00000000" w:rsidRPr="00000000">
        <w:rPr>
          <w:sz w:val="74"/>
          <w:szCs w:val="74"/>
          <w:vertAlign w:val="baseline"/>
          <w:rtl w:val="1"/>
        </w:rPr>
        <w:t xml:space="preserve">الفصل</w:t>
      </w:r>
      <w:r w:rsidDel="00000000" w:rsidR="00000000" w:rsidRPr="00000000">
        <w:rPr>
          <w:sz w:val="74"/>
          <w:szCs w:val="74"/>
          <w:vertAlign w:val="baseline"/>
          <w:rtl w:val="1"/>
        </w:rPr>
        <w:t xml:space="preserve"> </w:t>
      </w:r>
      <w:r w:rsidDel="00000000" w:rsidR="00000000" w:rsidRPr="00000000">
        <w:rPr>
          <w:sz w:val="74"/>
          <w:szCs w:val="74"/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10">
      <w:pPr>
        <w:pStyle w:val="Heading2"/>
        <w:keepNext w:val="0"/>
        <w:bidi w:val="1"/>
        <w:ind w:left="0" w:right="0"/>
        <w:contextualSpacing w:val="0"/>
        <w:jc w:val="center"/>
        <w:rPr>
          <w:sz w:val="74"/>
          <w:szCs w:val="7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bidi w:val="1"/>
        <w:ind w:left="0" w:right="0"/>
        <w:contextualSpacing w:val="0"/>
        <w:jc w:val="center"/>
        <w:rPr>
          <w:sz w:val="74"/>
          <w:szCs w:val="74"/>
          <w:vertAlign w:val="baseline"/>
        </w:rPr>
      </w:pPr>
      <w:r w:rsidDel="00000000" w:rsidR="00000000" w:rsidRPr="00000000">
        <w:rPr>
          <w:sz w:val="74"/>
          <w:szCs w:val="74"/>
          <w:vertAlign w:val="baseline"/>
          <w:rtl w:val="1"/>
        </w:rPr>
        <w:t xml:space="preserve">حياته</w:t>
      </w:r>
      <w:r w:rsidDel="00000000" w:rsidR="00000000" w:rsidRPr="00000000">
        <w:rPr>
          <w:sz w:val="74"/>
          <w:szCs w:val="74"/>
          <w:vertAlign w:val="baseline"/>
          <w:rtl w:val="1"/>
        </w:rPr>
        <w:t xml:space="preserve"> </w:t>
      </w:r>
      <w:r w:rsidDel="00000000" w:rsidR="00000000" w:rsidRPr="00000000">
        <w:rPr>
          <w:sz w:val="74"/>
          <w:szCs w:val="74"/>
          <w:vertAlign w:val="baseline"/>
          <w:rtl w:val="1"/>
        </w:rPr>
        <w:t xml:space="preserve">وآثاره</w:t>
      </w:r>
    </w:p>
    <w:p w:rsidR="00000000" w:rsidDel="00000000" w:rsidP="00000000" w:rsidRDefault="00000000" w:rsidRPr="00000000" w14:paraId="0000001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ً: </w:t>
      </w:r>
      <w:r w:rsidDel="00000000" w:rsidR="00000000" w:rsidRPr="00000000">
        <w:rPr>
          <w:vertAlign w:val="baseline"/>
          <w:rtl w:val="1"/>
        </w:rPr>
        <w:t xml:space="preserve">نسبه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ومولده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رشيد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بتمامه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السخاوي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كر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ورأيت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وأظن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السخاوي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باسمه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الحافظ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شهاب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يعرف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بشهاب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المؤرخين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المقريزي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والسخاوي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فذكرا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هلر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البقاعي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مولده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وثمانمائة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المقريزي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مولده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ثالث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وثمانمائة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الأرجح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مولده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وثمانمائة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البقاعي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وخصوصا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المعاصرين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كالسخاوي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المقريزي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ً: </w:t>
      </w:r>
      <w:r w:rsidDel="00000000" w:rsidR="00000000" w:rsidRPr="00000000">
        <w:rPr>
          <w:vertAlign w:val="baseline"/>
          <w:rtl w:val="1"/>
        </w:rPr>
        <w:t xml:space="preserve">طلبه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وشيوخه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وتلقي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وتلقى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مبادئ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الرغبة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التزود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الجزيرة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فأتيح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والمنطق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وبغداد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ودمشق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المقدس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وحاشيته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للتفتازاني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والأصول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835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تقريبا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بالفقهاء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والمحدثين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والمقرئين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الشرواني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وانتفع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العسقلاني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والمصطلح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الزركشي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بالمقريزي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وواظب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حضور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ومنطق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فبزغ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وناظر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ودرس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وأقبلت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وانهالت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خيراتها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وتوثقت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ويتردد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845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فأكرمه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وفادته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وولاه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التدريس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المدارس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الوزارة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فاعتذر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ببابك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والعبيد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يخدمونك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لينالوا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الوزارة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الوزير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خواطرهم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ويختل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السلطنة</w:t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فاستحسن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وأعجبه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العسكر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فقبله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الإفتاء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885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ab/>
      </w:r>
      <w:r w:rsidDel="00000000" w:rsidR="00000000" w:rsidRPr="00000000">
        <w:rPr>
          <w:b w:val="1"/>
          <w:vertAlign w:val="baseline"/>
          <w:rtl w:val="1"/>
        </w:rPr>
        <w:t xml:space="preserve">وأما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شيوخه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الذين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تلقي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عنهم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العلوم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فأبرزهم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1- </w:t>
      </w:r>
      <w:r w:rsidDel="00000000" w:rsidR="00000000" w:rsidRPr="00000000">
        <w:rPr>
          <w:b w:val="1"/>
          <w:vertAlign w:val="baseline"/>
          <w:rtl w:val="1"/>
        </w:rPr>
        <w:t xml:space="preserve">زين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عبدالرحمن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القزويني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773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تلقى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يعظمه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ويجله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ويصفه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الجميلة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القزويني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837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bidi w:val="1"/>
        <w:ind w:left="423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شيخه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القزويني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الشاطبية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وحاشيته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للتفتازاني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والعروض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2- </w:t>
      </w:r>
      <w:r w:rsidDel="00000000" w:rsidR="00000000" w:rsidRPr="00000000">
        <w:rPr>
          <w:b w:val="1"/>
          <w:vertAlign w:val="baseline"/>
          <w:rtl w:val="1"/>
        </w:rPr>
        <w:t xml:space="preserve">علاء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أبوعبدالله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البخاري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الحنفي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779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تتلمذ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التفتازاني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متقدما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والمنطق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تتلمذ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لازمه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وانتفع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بالمعروف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ناهيا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التزهد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التصوف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والورع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والتشديد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دائم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النكير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عربي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بتبديعه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وتكفيره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واشتهر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تيمية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تكفيره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تيمية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فانتدب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زعم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تيمية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841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3- </w:t>
      </w:r>
      <w:r w:rsidDel="00000000" w:rsidR="00000000" w:rsidRPr="00000000">
        <w:rPr>
          <w:b w:val="1"/>
          <w:vertAlign w:val="baseline"/>
          <w:rtl w:val="1"/>
        </w:rPr>
        <w:t xml:space="preserve">أحمد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عبدالقادر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إبراهيم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تقي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المقريزي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766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ونشأ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وواظب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والتراجم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مصنفاته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الخطط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تراجم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بارعا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مفننا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متقنا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ضابطا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دينا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خيرا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محبا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845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الشاطبية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رآه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فطنة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والشاطبية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فبلوت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وفصاحة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4- </w:t>
      </w:r>
      <w:r w:rsidDel="00000000" w:rsidR="00000000" w:rsidRPr="00000000">
        <w:rPr>
          <w:b w:val="1"/>
          <w:vertAlign w:val="baseline"/>
          <w:rtl w:val="1"/>
        </w:rPr>
        <w:t xml:space="preserve">عبدالرحمن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عبدالله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زين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الزركشي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المصري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الحنبلي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758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ونشأ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فحفظ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والعربية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دمشق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ونابلس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والإسكندرية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846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bidi w:val="1"/>
        <w:ind w:left="425" w:right="0" w:hanging="42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5- </w:t>
      </w:r>
      <w:r w:rsidDel="00000000" w:rsidR="00000000" w:rsidRPr="00000000">
        <w:rPr>
          <w:b w:val="1"/>
          <w:vertAlign w:val="baseline"/>
          <w:rtl w:val="1"/>
        </w:rPr>
        <w:t xml:space="preserve">أحمد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حجر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شهاب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أبوالفضل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العسقلاني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الشافعي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المصنفات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المشهورة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الكامنة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الثامنة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وتغليق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التعليق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والإصابة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تمييز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والتاريخ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وانتفعوا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852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bidi w:val="1"/>
        <w:ind w:left="425" w:right="0" w:hanging="42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لازمه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835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العراقي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المصطلح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إجازة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bidi w:val="1"/>
        <w:ind w:left="425" w:right="0" w:hanging="42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6- </w:t>
      </w:r>
      <w:r w:rsidDel="00000000" w:rsidR="00000000" w:rsidRPr="00000000">
        <w:rPr>
          <w:b w:val="1"/>
          <w:vertAlign w:val="baseline"/>
          <w:rtl w:val="1"/>
        </w:rPr>
        <w:t xml:space="preserve">علي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إسماعيل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إسماعيل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أبوالفتوح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العلاء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القلقشندي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الشافعي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788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بالقاهرة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وتتلمذ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والأصول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ولازمه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الكورانـي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وانتفع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للماوردي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856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bidi w:val="1"/>
        <w:ind w:left="425" w:right="0" w:hanging="42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7-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إبراهيم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الشرواني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ثم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القاهري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الشافعي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شمس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الدين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778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يشتغل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والمنطق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لازمه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وانتفع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والحرص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وكـان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مهيبـا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التعليم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873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1"/>
        </w:rPr>
        <w:t xml:space="preserve">ثالثا</w:t>
      </w:r>
      <w:r w:rsidDel="00000000" w:rsidR="00000000" w:rsidRPr="00000000">
        <w:rPr>
          <w:vertAlign w:val="baseline"/>
          <w:rtl w:val="1"/>
        </w:rPr>
        <w:t xml:space="preserve">ً: </w:t>
      </w:r>
      <w:r w:rsidDel="00000000" w:rsidR="00000000" w:rsidRPr="00000000">
        <w:rPr>
          <w:vertAlign w:val="baseline"/>
          <w:rtl w:val="1"/>
        </w:rPr>
        <w:t xml:space="preserve">تلامذتـه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جزءا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ونشره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انتقاله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المقطوع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واستفادوا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وتخرجوا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يسيرا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تلامذته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وأبرزهم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F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1- </w:t>
      </w:r>
      <w:r w:rsidDel="00000000" w:rsidR="00000000" w:rsidRPr="00000000">
        <w:rPr>
          <w:b w:val="1"/>
          <w:vertAlign w:val="baseline"/>
          <w:rtl w:val="1"/>
        </w:rPr>
        <w:t xml:space="preserve">السلطان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الفاتح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مراد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سلاطين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26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833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ونشأ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الفروسية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والسياسة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يتقن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والفارسية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بتعليمه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وتثقيفه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فتتلمذ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المشايخ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كالملاخسرو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848 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سلطانا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855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5" w:right="0" w:hanging="56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شئون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والعسكرية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والإدارية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وعظمت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عنايته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يدعوهم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ويكرمهم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وافتتح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اتسعت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اتساعا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كبيرا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وصارت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أعدائها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فتوحه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القسطنطينية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فدخلها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857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واتخذها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عاصمة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كنيستها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العظمى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صوفيا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جامع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وابتنى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والمدارس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بمكان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عظمه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فولاه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التدريس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والفتوى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الوزارة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فامتنع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واعتذر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ً- </w:t>
      </w:r>
      <w:r w:rsidDel="00000000" w:rsidR="00000000" w:rsidRPr="00000000">
        <w:rPr>
          <w:vertAlign w:val="baseline"/>
          <w:rtl w:val="1"/>
        </w:rPr>
        <w:t xml:space="preserve">يجل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ويقدره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أهداه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مؤلفاته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ؤوا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القسطنطينية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وحثوه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يستشير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ويخوفونه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بنفاذ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خزائنه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حصارها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واختلال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ويهولون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ويقولون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تؤخذ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المهدي</w:t>
      </w:r>
      <w:r w:rsidDel="00000000" w:rsidR="00000000" w:rsidRPr="00000000">
        <w:rPr>
          <w:vertAlign w:val="baseline"/>
          <w:rtl w:val="1"/>
        </w:rPr>
        <w:t xml:space="preserve">...،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شيخه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يخالفهم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ويقول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غزوها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نفذت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خزائني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وبلغت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ألبسه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أستعطي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886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2- </w:t>
      </w:r>
      <w:r w:rsidDel="00000000" w:rsidR="00000000" w:rsidRPr="00000000">
        <w:rPr>
          <w:b w:val="1"/>
          <w:vertAlign w:val="baseline"/>
          <w:rtl w:val="1"/>
        </w:rPr>
        <w:t xml:space="preserve">شكر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الشيرواني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طبيب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حاذق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اتصل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مقربا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تتلمذ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السخاوي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عودته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تتلمذ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استانبول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وانتفع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الشقائق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علمائها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السخاوي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ونظراؤه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أجازوه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إجازة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ملفوظة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مكتوبة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رأيت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إجازاتهم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بخطهم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والصلاح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اهـ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890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bidi w:val="1"/>
        <w:ind w:left="567" w:right="0" w:hanging="567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3- </w:t>
      </w:r>
      <w:r w:rsidDel="00000000" w:rsidR="00000000" w:rsidRPr="00000000">
        <w:rPr>
          <w:b w:val="1"/>
          <w:vertAlign w:val="baseline"/>
          <w:rtl w:val="1"/>
        </w:rPr>
        <w:t xml:space="preserve">علاء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العربي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حلب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علمائها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الأناضول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وتتلمذ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يقربه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ويدنيه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ويعجب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تتلمذ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التدريس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الإفتاء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القسطنطينية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متصوفا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بارعا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901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بالقسطنطينية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bidi w:val="1"/>
        <w:ind w:left="567" w:right="0" w:hanging="567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4- </w:t>
      </w:r>
      <w:r w:rsidDel="00000000" w:rsidR="00000000" w:rsidRPr="00000000">
        <w:rPr>
          <w:b w:val="1"/>
          <w:vertAlign w:val="baseline"/>
          <w:rtl w:val="1"/>
        </w:rPr>
        <w:t xml:space="preserve">محي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العجمي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تتلمذ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قويا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التدريس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وتقلد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بأدرنة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التعليم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والرسائل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وفاة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1"/>
        </w:rPr>
        <w:t xml:space="preserve">رابعا</w:t>
      </w:r>
      <w:r w:rsidDel="00000000" w:rsidR="00000000" w:rsidRPr="00000000">
        <w:rPr>
          <w:vertAlign w:val="baseline"/>
          <w:rtl w:val="1"/>
        </w:rPr>
        <w:t xml:space="preserve">ً: </w:t>
      </w:r>
      <w:r w:rsidDel="00000000" w:rsidR="00000000" w:rsidRPr="00000000">
        <w:rPr>
          <w:vertAlign w:val="baseline"/>
          <w:rtl w:val="1"/>
        </w:rPr>
        <w:t xml:space="preserve">آثاره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اشتغل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بالتأليف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وإفتاء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مصنفاته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1- </w:t>
      </w:r>
      <w:r w:rsidDel="00000000" w:rsidR="00000000" w:rsidRPr="00000000">
        <w:rPr>
          <w:b w:val="1"/>
          <w:vertAlign w:val="baseline"/>
          <w:rtl w:val="1"/>
        </w:rPr>
        <w:t xml:space="preserve">الدرر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اللوامع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شرح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جمع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الجوامع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66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المحلي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الجوامع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2- </w:t>
      </w:r>
      <w:r w:rsidDel="00000000" w:rsidR="00000000" w:rsidRPr="00000000">
        <w:rPr>
          <w:b w:val="1"/>
          <w:vertAlign w:val="baseline"/>
          <w:rtl w:val="1"/>
        </w:rPr>
        <w:t xml:space="preserve">رسالة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الولاء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الملاخسرو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بالإرث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مخطوطة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3- </w:t>
      </w:r>
      <w:r w:rsidDel="00000000" w:rsidR="00000000" w:rsidRPr="00000000">
        <w:rPr>
          <w:b w:val="1"/>
          <w:vertAlign w:val="baseline"/>
          <w:rtl w:val="1"/>
        </w:rPr>
        <w:t xml:space="preserve">رفع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الختام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وقف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حمزة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وهشام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لمنظومة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الجعبري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فرائد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وهشام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والكتاب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مخطوطا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bidi w:val="1"/>
        <w:ind w:left="0" w:right="0" w:hanging="2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4- </w:t>
      </w:r>
      <w:r w:rsidDel="00000000" w:rsidR="00000000" w:rsidRPr="00000000">
        <w:rPr>
          <w:b w:val="1"/>
          <w:vertAlign w:val="baseline"/>
          <w:rtl w:val="1"/>
        </w:rPr>
        <w:t xml:space="preserve">الشافية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العروض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والقافية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العروض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ستمائة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أهداها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البقاعي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ومطلع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القصيدة</w:t>
      </w:r>
      <w:r w:rsidDel="00000000" w:rsidR="00000000" w:rsidRPr="00000000">
        <w:rPr>
          <w:vertAlign w:val="baseline"/>
          <w:rtl w:val="1"/>
        </w:rPr>
        <w:t xml:space="preserve">:</w:t>
      </w:r>
    </w:p>
    <w:tbl>
      <w:tblPr>
        <w:tblStyle w:val="Table1"/>
        <w:bidiVisual w:val="1"/>
        <w:tblW w:w="8152.0" w:type="dxa"/>
        <w:jc w:val="right"/>
        <w:tblLayout w:type="fixed"/>
        <w:tblLook w:val="0000"/>
      </w:tblPr>
      <w:tblGrid>
        <w:gridCol w:w="3683"/>
        <w:gridCol w:w="795"/>
        <w:gridCol w:w="3674"/>
        <w:tblGridChange w:id="0">
          <w:tblGrid>
            <w:gridCol w:w="3683"/>
            <w:gridCol w:w="795"/>
            <w:gridCol w:w="367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45">
            <w:pPr>
              <w:bidi w:val="1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ن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ظ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vertAlign w:val="baseline"/>
                <w:rtl w:val="1"/>
              </w:rPr>
              <w:t xml:space="preserve">ٍ </w:t>
            </w:r>
            <w:r w:rsidDel="00000000" w:rsidR="00000000" w:rsidRPr="00000000">
              <w:rPr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ُّ</w:t>
            </w:r>
            <w:r w:rsidDel="00000000" w:rsidR="00000000" w:rsidRPr="00000000">
              <w:rPr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عبق</w:t>
            </w:r>
            <w:r w:rsidDel="00000000" w:rsidR="00000000" w:rsidRPr="00000000">
              <w:rPr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vertAlign w:val="baseline"/>
                <w:rtl w:val="1"/>
              </w:rPr>
              <w:t xml:space="preserve">الن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ش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  <w:br w:type="textWrapping"/>
            </w:r>
            <w:r w:rsidDel="00000000" w:rsidR="00000000" w:rsidRPr="00000000">
              <w:rPr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اس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vertAlign w:val="baseline"/>
                <w:rtl w:val="1"/>
              </w:rPr>
              <w:t xml:space="preserve">ود</w:t>
            </w:r>
            <w:r w:rsidDel="00000000" w:rsidR="00000000" w:rsidRPr="00000000">
              <w:rPr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</w:t>
            </w:r>
            <w:r w:rsidDel="00000000" w:rsidR="00000000" w:rsidRPr="00000000">
              <w:rPr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ش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  <w:br w:type="textWrapping"/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وا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vertAlign w:val="baseline"/>
                <w:rtl w:val="1"/>
              </w:rPr>
              <w:t xml:space="preserve">الك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vertAlign w:val="baseline"/>
                <w:rtl w:val="1"/>
              </w:rPr>
              <w:t xml:space="preserve">بالن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vertAlign w:val="superscript"/>
              </w:rPr>
              <w:footnoteReference w:customMarkFollows="0" w:id="74"/>
            </w:r>
            <w:r w:rsidDel="00000000" w:rsidR="00000000" w:rsidRPr="00000000">
              <w:rPr>
                <w:vertAlign w:val="superscript"/>
                <w:rtl w:val="0"/>
              </w:rPr>
              <w:t xml:space="preserve">)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bidi w:val="1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bidi w:val="1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vertAlign w:val="baseline"/>
                <w:rtl w:val="1"/>
              </w:rPr>
              <w:t xml:space="preserve">إ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vertAlign w:val="baseline"/>
                <w:rtl w:val="1"/>
              </w:rPr>
              <w:t xml:space="preserve">الخ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ق</w:t>
            </w:r>
            <w:r w:rsidDel="00000000" w:rsidR="00000000" w:rsidRPr="00000000">
              <w:rPr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vertAlign w:val="baseline"/>
                <w:rtl w:val="1"/>
              </w:rPr>
              <w:t xml:space="preserve">ذ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ْ </w:t>
            </w:r>
            <w:r w:rsidDel="00000000" w:rsidR="00000000" w:rsidRPr="00000000">
              <w:rPr>
                <w:vertAlign w:val="baseline"/>
                <w:rtl w:val="1"/>
              </w:rPr>
              <w:t xml:space="preserve">الط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والب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vertAlign w:val="baseline"/>
                <w:rtl w:val="1"/>
              </w:rPr>
              <w:t xml:space="preserve">ِّ</w:t>
              <w:br w:type="textWrapping"/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ن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ْ </w:t>
            </w:r>
            <w:r w:rsidDel="00000000" w:rsidR="00000000" w:rsidRPr="00000000">
              <w:rPr>
                <w:vertAlign w:val="baseline"/>
                <w:rtl w:val="1"/>
              </w:rPr>
              <w:t xml:space="preserve">بالص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vertAlign w:val="baseline"/>
                <w:rtl w:val="1"/>
              </w:rPr>
              <w:t xml:space="preserve">لأ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vertAlign w:val="baseline"/>
                <w:rtl w:val="1"/>
              </w:rPr>
              <w:t xml:space="preserve">ٍ</w:t>
              <w:br w:type="textWrapping"/>
            </w:r>
            <w:r w:rsidDel="00000000" w:rsidR="00000000" w:rsidRPr="00000000">
              <w:rPr>
                <w:vertAlign w:val="baseline"/>
                <w:rtl w:val="1"/>
              </w:rPr>
              <w:t xml:space="preserve">صـلاة</w:t>
            </w:r>
            <w:r w:rsidDel="00000000" w:rsidR="00000000" w:rsidRPr="00000000">
              <w:rPr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عــم</w:t>
            </w:r>
            <w:r w:rsidDel="00000000" w:rsidR="00000000" w:rsidRPr="00000000">
              <w:rPr>
                <w:vertAlign w:val="baseline"/>
                <w:rtl w:val="1"/>
              </w:rPr>
              <w:t xml:space="preserve">ُّ </w:t>
            </w:r>
            <w:r w:rsidDel="00000000" w:rsidR="00000000" w:rsidRPr="00000000">
              <w:rPr>
                <w:vertAlign w:val="baseline"/>
                <w:rtl w:val="1"/>
              </w:rPr>
              <w:t xml:space="preserve">الآل</w:t>
            </w:r>
            <w:r w:rsidDel="00000000" w:rsidR="00000000" w:rsidRPr="00000000">
              <w:rPr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والش</w:t>
            </w:r>
            <w:r w:rsidDel="00000000" w:rsidR="00000000" w:rsidRPr="00000000">
              <w:rPr>
                <w:vertAlign w:val="baseline"/>
                <w:rtl w:val="1"/>
              </w:rPr>
              <w:t xml:space="preserve">ِّ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التي</w:t>
            </w:r>
          </w:p>
        </w:tc>
      </w:tr>
    </w:tbl>
    <w:p w:rsidR="00000000" w:rsidDel="00000000" w:rsidP="00000000" w:rsidRDefault="00000000" w:rsidRPr="00000000" w14:paraId="00000048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5- </w:t>
      </w:r>
      <w:r w:rsidDel="00000000" w:rsidR="00000000" w:rsidRPr="00000000">
        <w:rPr>
          <w:b w:val="1"/>
          <w:vertAlign w:val="baseline"/>
          <w:rtl w:val="1"/>
        </w:rPr>
        <w:t xml:space="preserve">العبقري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حواشي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الجعبري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  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كنـز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لبرهان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الجعبري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مخطوطا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6- </w:t>
      </w:r>
      <w:r w:rsidDel="00000000" w:rsidR="00000000" w:rsidRPr="00000000">
        <w:rPr>
          <w:b w:val="1"/>
          <w:vertAlign w:val="baseline"/>
          <w:rtl w:val="1"/>
        </w:rPr>
        <w:t xml:space="preserve">غاية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الأماني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تفسير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الكلام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الرباني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تأليفه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860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وفرغ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867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الأقصى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أهداه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مفصلا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4C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7- </w:t>
      </w:r>
      <w:r w:rsidDel="00000000" w:rsidR="00000000" w:rsidRPr="00000000">
        <w:rPr>
          <w:b w:val="1"/>
          <w:vertAlign w:val="baseline"/>
          <w:rtl w:val="1"/>
        </w:rPr>
        <w:t xml:space="preserve">لوامع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الغرر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شرح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فرائد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الدرر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  <w:t xml:space="preserve">"</w:t>
      </w:r>
      <w:r w:rsidDel="00000000" w:rsidR="00000000" w:rsidRPr="00000000">
        <w:rPr>
          <w:vertAlign w:val="baseline"/>
          <w:rtl w:val="1"/>
        </w:rPr>
        <w:t xml:space="preserve">فرائد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الدرر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قصيدة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وزن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الشاطبية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وقافيتها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شرحها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أهداه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بايزيد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الشاطبية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مخطوطا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8- </w:t>
      </w:r>
      <w:r w:rsidDel="00000000" w:rsidR="00000000" w:rsidRPr="00000000">
        <w:rPr>
          <w:b w:val="1"/>
          <w:vertAlign w:val="baseline"/>
          <w:rtl w:val="1"/>
        </w:rPr>
        <w:t xml:space="preserve">كشف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الأسرار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قراءات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الأئمة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الأخيار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محيصن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والأعمش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وأربعين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بيتا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فراغ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890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مخطوطا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0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9- </w:t>
      </w:r>
      <w:r w:rsidDel="00000000" w:rsidR="00000000" w:rsidRPr="00000000">
        <w:rPr>
          <w:b w:val="1"/>
          <w:vertAlign w:val="baseline"/>
          <w:rtl w:val="1"/>
        </w:rPr>
        <w:t xml:space="preserve">الكوثر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الجاري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رياض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البخاري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متوسط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صد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</w:t>
      </w:r>
      <w:r w:rsidDel="00000000" w:rsidR="00000000" w:rsidRPr="00000000">
        <w:rPr>
          <w:vertAlign w:val="baseline"/>
          <w:rtl w:val="1"/>
        </w:rPr>
        <w:t xml:space="preserve">إجمالا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ومناقب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الكرماني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الردود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فراغه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تأليفه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874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مخطوطا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10- </w:t>
      </w:r>
      <w:r w:rsidDel="00000000" w:rsidR="00000000" w:rsidRPr="00000000">
        <w:rPr>
          <w:b w:val="1"/>
          <w:vertAlign w:val="baseline"/>
          <w:rtl w:val="1"/>
        </w:rPr>
        <w:t xml:space="preserve">المرشح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الموشح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الموشح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تأليفه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الثلاثاء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لعام</w:t>
      </w:r>
      <w:r w:rsidDel="00000000" w:rsidR="00000000" w:rsidRPr="00000000">
        <w:rPr>
          <w:vertAlign w:val="baseline"/>
          <w:rtl w:val="1"/>
        </w:rPr>
        <w:t xml:space="preserve"> 889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مخطوطا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1"/>
        </w:rPr>
        <w:t xml:space="preserve">خامسا</w:t>
      </w:r>
      <w:r w:rsidDel="00000000" w:rsidR="00000000" w:rsidRPr="00000000">
        <w:rPr>
          <w:vertAlign w:val="baseline"/>
          <w:rtl w:val="1"/>
        </w:rPr>
        <w:t xml:space="preserve">ً: </w:t>
      </w:r>
      <w:r w:rsidDel="00000000" w:rsidR="00000000" w:rsidRPr="00000000">
        <w:rPr>
          <w:vertAlign w:val="baseline"/>
          <w:rtl w:val="1"/>
        </w:rPr>
        <w:t xml:space="preserve">عقيدته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ومذهبه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5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أ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عقيدته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أشعري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الأشعري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الاعتقاد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جليا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وأقواله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بالصفات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ويظهر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اصطباغ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بيئته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وتكو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الأشعري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يخالفه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ويأخذ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7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ب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مذهبه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الفقهي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نشأ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فأجابه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الحنفي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بتحرير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والشافعي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الأئمة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1"/>
        </w:rPr>
        <w:t xml:space="preserve">سادسا</w:t>
      </w:r>
      <w:r w:rsidDel="00000000" w:rsidR="00000000" w:rsidRPr="00000000">
        <w:rPr>
          <w:vertAlign w:val="baseline"/>
          <w:rtl w:val="1"/>
        </w:rPr>
        <w:t xml:space="preserve">ً: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مجتهدا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باذلا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أوقاته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صارفا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ساعاته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تدريس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وتصنيف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وإفتاء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الثمانين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التقلل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حطام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والزهد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متاعها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والإقبال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أملاكه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بأربع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893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مرض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واشتد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وأخذت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تضعف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فاضت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باريها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القسطنطينية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فحزن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حزنا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شديدا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وتأسفوا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فراقه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بكاؤهم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جنازته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مشهودة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حضرها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الخواص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والعوام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بايزيد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والوزراء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وأسكنه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جناته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/>
      <w:pgMar w:bottom="1701" w:top="1985" w:left="1985" w:right="1985" w:header="1134" w:footer="851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2"/>
        <w:szCs w:val="10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شهرزور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الأكراد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بالفارسية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(7/417)،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(2/216)،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(3/375).</w:t>
      </w:r>
    </w:p>
  </w:footnote>
  <w:footnote w:id="1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كوران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بلدة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كوران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أسفرايين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(10/492)،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(3/117)،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(1/39).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قبيلة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كوران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قبائل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الأكراد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المشهورة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ويسكن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48/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(4/489)،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خلاصة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وكردستان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(423)،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الشرفنامة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(20).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(1/3639)،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(1/280).</w:t>
      </w:r>
    </w:p>
  </w:footnote>
  <w:footnote w:id="3"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السخاوي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مؤرخا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المصنفات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(8/2-32)،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(8/15).</w:t>
      </w:r>
    </w:p>
  </w:footnote>
  <w:footnote w:id="4"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(1/241).</w:t>
      </w:r>
    </w:p>
  </w:footnote>
  <w:footnote w:id="5"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(12).</w:t>
      </w:r>
    </w:p>
  </w:footnote>
  <w:footnote w:id="6"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(8/129).</w:t>
      </w:r>
    </w:p>
  </w:footnote>
  <w:footnote w:id="7"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(1/380).</w:t>
      </w:r>
    </w:p>
  </w:footnote>
  <w:footnote w:id="8"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(1/39).</w:t>
      </w:r>
    </w:p>
  </w:footnote>
  <w:footnote w:id="9"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(11).</w:t>
      </w:r>
    </w:p>
  </w:footnote>
  <w:footnote w:id="10"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(1/241).</w:t>
      </w:r>
    </w:p>
  </w:footnote>
  <w:footnote w:id="11"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تركيا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(21، 22).</w:t>
      </w:r>
    </w:p>
  </w:footnote>
  <w:footnote w:id="12"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(7/339).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12).</w:t>
      </w:r>
    </w:p>
  </w:footnote>
  <w:footnote w:id="13"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(1/39).</w:t>
      </w:r>
    </w:p>
  </w:footnote>
  <w:footnote w:id="14"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(1/363).</w:t>
      </w:r>
    </w:p>
  </w:footnote>
  <w:footnote w:id="15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12).</w:t>
      </w:r>
    </w:p>
  </w:footnote>
  <w:footnote w:id="16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(1/241).</w:t>
      </w:r>
    </w:p>
  </w:footnote>
  <w:footnote w:id="17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12).</w:t>
      </w:r>
    </w:p>
  </w:footnote>
  <w:footnote w:id="18"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ماردين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بالجزيرة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(2/134)،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(1/608).</w:t>
      </w:r>
    </w:p>
  </w:footnote>
  <w:footnote w:id="19"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12).</w:t>
      </w:r>
    </w:p>
  </w:footnote>
  <w:footnote w:id="20"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حصن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وقلعة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سكانها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(2/106).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(2/265).</w:t>
      </w:r>
    </w:p>
  </w:footnote>
  <w:footnote w:id="21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(1/241).</w:t>
      </w:r>
    </w:p>
  </w:footnote>
  <w:footnote w:id="22"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واللغة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بسمرقند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الكامنة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(4/350)،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(2/285).</w:t>
      </w:r>
    </w:p>
  </w:footnote>
  <w:footnote w:id="23"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(9/129)،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12).</w:t>
      </w:r>
    </w:p>
  </w:footnote>
  <w:footnote w:id="24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مشايخه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25"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(1/242).</w:t>
      </w:r>
    </w:p>
  </w:footnote>
  <w:footnote w:id="26"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المرجعين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جقمق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(31).</w:t>
      </w:r>
    </w:p>
  </w:footnote>
  <w:footnote w:id="27"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خروجه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إخراجه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واقعته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وملخصها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فتقاولا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فتسابا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وأبوك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وأجدادك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وأسلافك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فغضب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بضربه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وعزله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وإخراجه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إنصاف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يستحقها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أضف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(9/130-131):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البـدر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  <w:t xml:space="preserve">(1/40)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المجازفات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والاستحلال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والأعراض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إراقة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وتمزيق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شاتمه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بانتساب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أبدله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سلطانه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جيرانه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ورزق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منعوه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حسدوه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مملكة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يترقى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(3/1504-1055).</w:t>
      </w:r>
    </w:p>
  </w:footnote>
  <w:footnote w:id="28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(33).</w:t>
      </w:r>
    </w:p>
  </w:footnote>
  <w:footnote w:id="29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(1/143)،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48/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</w:footnote>
  <w:footnote w:id="30"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(15).</w:t>
      </w:r>
    </w:p>
  </w:footnote>
  <w:footnote w:id="31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(1/144)،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48/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(1/281)،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(42).</w:t>
      </w:r>
    </w:p>
  </w:footnote>
  <w:footnote w:id="32"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العسكر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المناصب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القضائية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تعييـن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أكثـر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والمدرسين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التوسع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الفتوحات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عهده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العسكر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اثنين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الأوربي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ويسمى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الروملي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الأناضول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ويسمى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الأناضولي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المصطلحات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التاريخية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(344)،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الموسوعي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للمصطلحات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التاريخية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(174).</w:t>
      </w:r>
      <w:r w:rsidDel="00000000" w:rsidR="00000000" w:rsidRPr="00000000">
        <w:rPr>
          <w:rtl w:val="0"/>
        </w:rPr>
      </w:r>
    </w:p>
  </w:footnote>
  <w:footnote w:id="33"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</w:footnote>
  <w:footnote w:id="34"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</w:p>
  </w:footnote>
  <w:footnote w:id="35"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(8/290)،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(4/154).</w:t>
      </w:r>
    </w:p>
  </w:footnote>
  <w:footnote w:id="36"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(1/39).</w:t>
      </w:r>
    </w:p>
  </w:footnote>
  <w:footnote w:id="37"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</w:footnote>
  <w:footnote w:id="38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الحاتمي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المتصوفة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والمقامات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الفتوحات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تواليفه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(23/48)،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(13/156).</w:t>
      </w:r>
    </w:p>
  </w:footnote>
  <w:footnote w:id="39"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التصانيف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الفلاسفة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والمعتزلة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والرافضة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والبزار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جنازته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مشهودة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(14/132).</w:t>
      </w:r>
    </w:p>
  </w:footnote>
  <w:footnote w:id="40"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مؤرخا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ومتداول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الكامنة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(3/397)،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الألحاظ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(317).</w:t>
      </w:r>
    </w:p>
  </w:footnote>
  <w:footnote w:id="41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(9/23، 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(9/291)،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(2/260).</w:t>
      </w:r>
    </w:p>
  </w:footnote>
  <w:footnote w:id="42"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(9/170)،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(2/21).</w:t>
      </w:r>
    </w:p>
  </w:footnote>
  <w:footnote w:id="43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السخاوي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المقريزي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والشاطبية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فبلوت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وفصاحة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وعربيه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المقريزي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المقريزي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44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(1/40).</w:t>
      </w:r>
    </w:p>
  </w:footnote>
  <w:footnote w:id="45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(9/194)،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(4/136).</w:t>
      </w:r>
    </w:p>
  </w:footnote>
  <w:footnote w:id="46"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الكامنة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(1/87).</w:t>
      </w:r>
    </w:p>
  </w:footnote>
  <w:footnote w:id="47"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(8/130).</w:t>
      </w:r>
    </w:p>
  </w:footnote>
  <w:footnote w:id="48"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(1/39).</w:t>
      </w:r>
    </w:p>
  </w:footnote>
  <w:footnote w:id="49"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(1/143).</w:t>
      </w:r>
    </w:p>
  </w:footnote>
  <w:footnote w:id="50"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(1/40).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والماوردي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الماوردي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المصنفات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(18/64)،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للأسنوي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(2/387).</w:t>
      </w:r>
    </w:p>
  </w:footnote>
  <w:footnote w:id="51"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(5/161).</w:t>
      </w:r>
    </w:p>
  </w:footnote>
  <w:footnote w:id="52"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(1/40).</w:t>
      </w:r>
    </w:p>
  </w:footnote>
  <w:footnote w:id="53"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(10/48)،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(135).</w:t>
      </w:r>
    </w:p>
  </w:footnote>
  <w:footnote w:id="54"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خسرو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فراموز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وأعيانها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بالقسطنطينية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(7/342)،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(109).</w:t>
      </w:r>
    </w:p>
  </w:footnote>
  <w:footnote w:id="55"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المؤرخين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مغنيسا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يمتثل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فذكروا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فجعلـه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وأعطاه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قضيبا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ليضربه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أرسلني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فضحك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شديدا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أموالا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وهدايا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عظيمة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(1/144)،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(42).</w:t>
      </w:r>
    </w:p>
  </w:footnote>
  <w:footnote w:id="56"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قسطنطين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حصينة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الجيوش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يتيسر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تركيا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اسطنبول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(4/347).</w:t>
      </w:r>
    </w:p>
  </w:footnote>
  <w:footnote w:id="57"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(8).</w:t>
      </w:r>
    </w:p>
  </w:footnote>
  <w:footnote w:id="58"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</w:footnote>
  <w:footnote w:id="59"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إظهار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(374).</w:t>
      </w:r>
    </w:p>
  </w:footnote>
  <w:footnote w:id="60"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(63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الرشيدي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61"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(1/333-334).</w:t>
      </w:r>
    </w:p>
  </w:footnote>
  <w:footnote w:id="62"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(6/179).</w:t>
      </w:r>
    </w:p>
  </w:footnote>
  <w:footnote w:id="63"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(8/5).</w:t>
      </w:r>
    </w:p>
  </w:footnote>
  <w:footnote w:id="64"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أدرنة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اتخذها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القسطنطينية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استانبول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(103).</w:t>
      </w:r>
    </w:p>
  </w:footnote>
  <w:footnote w:id="65"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(12/208).</w:t>
      </w:r>
    </w:p>
  </w:footnote>
  <w:footnote w:id="66"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الجوامع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السبكي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771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).</w:t>
      </w:r>
    </w:p>
  </w:footnote>
  <w:footnote w:id="67"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791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أتمه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  <w:br w:type="textWrapping"/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الجلالين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864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(7/303)،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للداودي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(2/84).</w:t>
      </w:r>
    </w:p>
  </w:footnote>
  <w:footnote w:id="68"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(1/242)،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(3/1055)،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(1/431)،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(1/468)،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(1/98).</w:t>
        <w:tab/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دكتوراه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المجيدي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1412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</w:footnote>
  <w:footnote w:id="69"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(1/672)،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(7/375).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مجاميع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السليمانية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(1051)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7-11،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الحميدية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(188)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113-115.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(118).</w:t>
      </w:r>
      <w:r w:rsidDel="00000000" w:rsidR="00000000" w:rsidRPr="00000000">
        <w:rPr>
          <w:rtl w:val="0"/>
        </w:rPr>
      </w:r>
    </w:p>
  </w:footnote>
  <w:footnote w:id="70"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أبومحمد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الجعبري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640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التجويد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(1/21):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حاذق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732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(14/160)،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للأسنوي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(1/385).</w:t>
      </w:r>
    </w:p>
  </w:footnote>
  <w:footnote w:id="71"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(7/375)،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ملاكوراني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(114)،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(57).</w:t>
      </w:r>
    </w:p>
  </w:footnote>
  <w:footnote w:id="72"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(1/242)،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(1/41).</w:t>
      </w:r>
    </w:p>
  </w:footnote>
  <w:footnote w:id="73"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14):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وأرسل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قصيدة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العروض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أجاد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نظمها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وسطا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نظمها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سماها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العروض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ستمائة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".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</w:footnote>
  <w:footnote w:id="74"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السنيـة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(1/281)،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(2/59).</w:t>
      </w:r>
    </w:p>
  </w:footnote>
  <w:footnote w:id="75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كنـز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الجعبري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وجهوده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منشورة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الحميضي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</w:footnote>
  <w:footnote w:id="76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النعمانية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(1/146)،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(1/483)،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(1/502)،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(63).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(1/441).</w:t>
      </w:r>
    </w:p>
  </w:footnote>
  <w:footnote w:id="77"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</w:footnote>
  <w:footnote w:id="78"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).</w:t>
      </w:r>
    </w:p>
  </w:footnote>
  <w:footnote w:id="79"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نظمها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اليمني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</w:footnote>
  <w:footnote w:id="80"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(7/375)،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ملاكوراني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(115).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حكمت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(68)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السليمانية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(47).</w:t>
      </w:r>
    </w:p>
  </w:footnote>
  <w:footnote w:id="81"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(2/412)،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(1/166)،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مصنفات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(4/141).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حكمت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منظومة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(1/387).</w:t>
      </w:r>
    </w:p>
  </w:footnote>
  <w:footnote w:id="82"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(1/437).</w:t>
      </w:r>
    </w:p>
  </w:footnote>
  <w:footnote w:id="83"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الكرماني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717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أشهرها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الدراري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عودته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786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الكامنة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(4/310)،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(1/279).</w:t>
      </w:r>
    </w:p>
  </w:footnote>
  <w:footnote w:id="84"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النعمانية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(1/146)،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(1/283)،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(1/437).</w:t>
      </w:r>
    </w:p>
  </w:footnote>
  <w:footnote w:id="85"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السخاوي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(1/242)،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(3/1055)،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(1/41).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حكمت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(479).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مزيدا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وعلومه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(2/1320).</w:t>
      </w:r>
    </w:p>
  </w:footnote>
  <w:footnote w:id="86"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وشرحها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الموشح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الخبيصي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(9/116).</w:t>
      </w:r>
    </w:p>
  </w:footnote>
  <w:footnote w:id="87"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(2/327).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الزركلي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(1/99)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br w:type="textWrapping"/>
        <w:t xml:space="preserve">(1006).</w:t>
      </w:r>
    </w:p>
  </w:footnote>
  <w:footnote w:id="88"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(179، 418، 437، 482، 514، 939).</w:t>
      </w:r>
    </w:p>
  </w:footnote>
  <w:footnote w:id="89"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(152، 896).</w:t>
      </w:r>
    </w:p>
  </w:footnote>
  <w:footnote w:id="90"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(468، 481، 492).</w:t>
      </w:r>
    </w:p>
  </w:footnote>
  <w:footnote w:id="91"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119، 257).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(96).</w:t>
      </w:r>
    </w:p>
  </w:footnote>
  <w:footnote w:id="92"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(1/241-242)،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(3/1054-1055)،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br w:type="textWrapping"/>
        <w:t xml:space="preserve">(39)،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(1/40-41).</w:t>
      </w:r>
    </w:p>
  </w:footnote>
  <w:footnote w:id="93"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(196، 257، 283، 354، 355).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(98).</w:t>
      </w:r>
    </w:p>
  </w:footnote>
  <w:footnote w:id="94"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(75).</w:t>
      </w:r>
    </w:p>
  </w:footnote>
  <w:footnote w:id="95"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894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السخاوي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أواخر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ملاكوراني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أواخر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حياته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وآثاره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center"/>
    </w:pPr>
    <w:rPr>
      <w:sz w:val="96"/>
      <w:szCs w:val="96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bidi w:val="1"/>
      <w:ind w:left="0" w:right="0"/>
      <w:jc w:val="center"/>
    </w:pPr>
    <w:rPr>
      <w:sz w:val="52"/>
      <w:szCs w:val="52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bidi w:val="1"/>
      <w:ind w:left="0" w:right="0"/>
      <w:jc w:val="center"/>
    </w:pPr>
    <w:rPr>
      <w:sz w:val="72"/>
      <w:szCs w:val="7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