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ind w:left="0" w:right="0"/>
        <w:contextualSpacing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3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05">
      <w:pPr>
        <w:bidi w:val="1"/>
        <w:ind w:left="0" w:right="0"/>
        <w:contextualSpacing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/>
        <w:contextualSpacing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1"/>
        </w:rPr>
        <w:t xml:space="preserve">عصــــر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المؤلف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 -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رحمه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الله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- </w:t>
      </w:r>
    </w:p>
    <w:p w:rsidR="00000000" w:rsidDel="00000000" w:rsidP="00000000" w:rsidRDefault="00000000" w:rsidRPr="00000000" w14:paraId="0000000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/>
        <w:contextualSpacing w:val="0"/>
        <w:jc w:val="both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/>
        <w:contextualSpacing w:val="0"/>
        <w:jc w:val="both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1"/>
        </w:rPr>
        <w:t xml:space="preserve">أولا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ً: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الحالة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السياسية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0" w:right="0"/>
        <w:contextualSpacing w:val="0"/>
        <w:jc w:val="both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/>
        <w:contextualSpacing w:val="0"/>
        <w:jc w:val="both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1"/>
        </w:rPr>
        <w:t xml:space="preserve">ثانيا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ً: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الحالة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الاجتماعية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0" w:right="0"/>
        <w:contextualSpacing w:val="0"/>
        <w:jc w:val="both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/>
        <w:contextualSpacing w:val="0"/>
        <w:jc w:val="both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1"/>
        </w:rPr>
        <w:t xml:space="preserve">ثالثا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ً: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الحالة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العلمية</w:t>
      </w:r>
      <w:r w:rsidDel="00000000" w:rsidR="00000000" w:rsidRPr="00000000">
        <w:rPr>
          <w:sz w:val="72"/>
          <w:szCs w:val="72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ind w:left="0" w:right="0"/>
        <w:contextualSpacing w:val="0"/>
        <w:jc w:val="both"/>
        <w:rPr>
          <w:sz w:val="44"/>
          <w:szCs w:val="4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أولا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ً: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الحالة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السياسية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يعتبر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أرجائها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ممزقة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موزعة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الإمارات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سقطت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التتار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سقطت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الأندلس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النصارى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الهدوء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والأمن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والتنافر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الإمارات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أفريقيا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متصارعة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وتسقط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والعثمانيون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تحكمان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وأطراف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والعثمانيون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بدأت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دولتهم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تسترد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عافيتها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مطلع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سقوطها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656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ومقاليد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المملوكي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بالاضطراب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وتغيير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تتجاوز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سباي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الاستكثار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وتدخلهم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استضعاف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لصغر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سنوات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سنتين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وخلع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وتنصيب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الفترة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1- </w:t>
      </w:r>
      <w:r w:rsidDel="00000000" w:rsidR="00000000" w:rsidRPr="00000000">
        <w:rPr>
          <w:b w:val="1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المؤيد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شيخ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عبدالله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المحمودي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770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تقريبا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815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متقنا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الفروسية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محبا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البلقيني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تفارقه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حضرا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الاضطرابات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والفتن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الأزمنة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استمر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824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2- </w:t>
      </w:r>
      <w:r w:rsidDel="00000000" w:rsidR="00000000" w:rsidRPr="00000000">
        <w:rPr>
          <w:b w:val="1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الأشرف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ر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سباي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825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وامتازت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بالهدوء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بحيث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يجهز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عسكرا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يباشر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حربا</w:t>
      </w:r>
      <w:r w:rsidDel="00000000" w:rsidR="00000000" w:rsidRPr="00000000">
        <w:rPr>
          <w:vertAlign w:val="baseline"/>
          <w:rtl w:val="1"/>
        </w:rPr>
        <w:t xml:space="preserve">ً"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ملكها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الصليبيين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وأهله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المدرسين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والأوقاف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استمر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841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3- </w:t>
      </w:r>
      <w:r w:rsidDel="00000000" w:rsidR="00000000" w:rsidRPr="00000000">
        <w:rPr>
          <w:b w:val="1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الظاهر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أبوسعيد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ج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ق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مق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برسباي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842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كريما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متواضعا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محبا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عفيفا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المنكرات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طاعته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فحاربهم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وهدأت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الأحوال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عاش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خواصه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bidi w:val="1"/>
        <w:ind w:left="565" w:right="0" w:hanging="565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4- </w:t>
      </w:r>
      <w:r w:rsidDel="00000000" w:rsidR="00000000" w:rsidRPr="00000000">
        <w:rPr>
          <w:b w:val="1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الأشرف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قايتباي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المحمودي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872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لمجالستهم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واعتنى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بالمشاعر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المكرمة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فأجرى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ليستظل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المساجد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الحريق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الأوقاف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المدرسين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901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بدأت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مرحلة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بصفة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عامة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ازدياد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رقعتها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تنظيمها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وتقدمها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مقاليد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فهم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1-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جلبي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بايزيد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المولود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781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خاض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صراعات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إخوانه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816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والاضطرابات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آنذاك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تسيطر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وجزء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أوربا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استمر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824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2-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مراد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806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824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توسعت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الصغيرة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آسيا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ألبانيا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وصربيا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فأكرمه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واحتفى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bidi w:val="1"/>
        <w:ind w:left="423" w:right="0" w:hanging="423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3-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الفاتح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مراد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17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423" w:right="0" w:hanging="423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4-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بايزيد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السلطان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الفاتح</w:t>
      </w:r>
      <w:r w:rsidDel="00000000" w:rsidR="00000000" w:rsidRPr="00000000">
        <w:rPr>
          <w:b w:val="1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886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واشتغل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الأصغر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نازعه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الفتنة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استمر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918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ثانيا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ً: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الحالة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الاجتماعية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المضطربة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بظلالها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أنماط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يسيطر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كأنموذج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يعيشون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والاضطهاد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والعوز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سلطانا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وينصبون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غالبهم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والفلاحين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يكدحون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العيش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الإقطاعي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المعمول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جيبه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الخاص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الإقطاع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مجموعة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المكوس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وتبعا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لتقلب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الإقطاع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متقلبا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يغضب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إقطاعه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ويمنحه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توزيع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الإقطاع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ليمنح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نصيبهم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الإقطاع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الزاوية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انتشرت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عسكرية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مميزة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يختلطوا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حفل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الكادحين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يشكلون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مغلوبون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أثقلت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كواهلهم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الضرائب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والمغارم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الباهظة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ورغم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الاقتصادية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بالتجارة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والزراعة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والعمران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الصناعات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المظالم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والصناع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الرشاوي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ببذخ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وإسراف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الشخصية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والمناسبات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العساكر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ورغم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المظالم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المتفشية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والأمراء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يرضون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إزالتها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الدروشة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والبدع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والخرافات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والموالد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انتشرت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انتشارا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واسعا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وعملت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والزوايا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وأوقفت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الأوقاف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بمثابة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الأنموذج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بظلال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وخراسان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وراءها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هجمات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الدويلات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الصغيرة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المتعاقبة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إضعاف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والاستقرار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انعكس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وأشاع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الفوضى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والضعف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0" w:right="0"/>
        <w:contextualSpacing w:val="0"/>
        <w:jc w:val="both"/>
        <w:rPr>
          <w:sz w:val="42"/>
          <w:szCs w:val="4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ثالثا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ً: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الحالة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 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العلمية</w:t>
      </w:r>
      <w:r w:rsidDel="00000000" w:rsidR="00000000" w:rsidRPr="00000000">
        <w:rPr>
          <w:sz w:val="42"/>
          <w:szCs w:val="42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الكوراني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مراكز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وبخارى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ونيسابور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الأندلس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مدنها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هجمات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مغولية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سقطت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بغداد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بالأندلس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الصليبية</w:t>
      </w:r>
      <w:r w:rsidDel="00000000" w:rsidR="00000000" w:rsidRPr="00000000">
        <w:rPr>
          <w:vertAlign w:val="baseline"/>
          <w:rtl w:val="1"/>
        </w:rPr>
        <w:t xml:space="preserve"> - </w:t>
      </w:r>
      <w:r w:rsidDel="00000000" w:rsidR="00000000" w:rsidRPr="00000000">
        <w:rPr>
          <w:vertAlign w:val="baseline"/>
          <w:rtl w:val="1"/>
        </w:rPr>
        <w:t xml:space="preserve">فأضحت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والإسكندرية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وأسيوط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ودمشق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موئلا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لطلاب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والراغبين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يعمرها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والأدباء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أنشئت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بالعشرات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مذاهبها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وأغراضها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إقامة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المكتبات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النفيسة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والفتوحات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الاهتمام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الأوقاف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المدرسين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القسطنطينية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والجوامع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التاسع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بظهور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مجموعة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والأدباء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والفكرية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التخصصات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التاريخية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ازدان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أبوالعباس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القلقشندي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821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عبدالرحيم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826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أبوالخير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الجزري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833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عبدالقادر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المقريزي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845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العسقلاني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852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855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البلقيني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868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شهبة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874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جمال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أبوالمحاسن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تغري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بردي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874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الكافيجي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879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البقاعي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885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 .</w:t>
      </w:r>
    </w:p>
    <w:p w:rsidR="00000000" w:rsidDel="00000000" w:rsidP="00000000" w:rsidRDefault="00000000" w:rsidRPr="00000000" w14:paraId="0000003A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السخاوي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902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3B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جلال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(911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دروسهم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والجوامع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مصنفاتهم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التخصصات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والأدبية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/>
      <w:pgMar w:bottom="1701" w:top="1985" w:left="1985" w:right="1985" w:header="1134" w:footer="851"/>
      <w:pgNumType w:start="28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(4/195، 253، 338، 379) (7/727).</w:t>
      </w:r>
    </w:p>
  </w:footnote>
  <w:footnote w:id="1"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(5/244).</w:t>
      </w:r>
    </w:p>
  </w:footnote>
  <w:footnote w:id="2"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(2/465)،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(2/121).</w:t>
      </w:r>
    </w:p>
  </w:footnote>
  <w:footnote w:id="3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(14/232)،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(2/121).</w:t>
      </w:r>
    </w:p>
  </w:footnote>
  <w:footnote w:id="4"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برسباي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(2/562)،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والأبدان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(3/422).</w:t>
      </w:r>
    </w:p>
  </w:footnote>
  <w:footnote w:id="5"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6"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البلقيني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805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(5/107)،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(7/51).</w:t>
      </w:r>
    </w:p>
  </w:footnote>
  <w:footnote w:id="7"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(7/435)،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(14/1)،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(2/121).</w:t>
      </w:r>
    </w:p>
  </w:footnote>
  <w:footnote w:id="8"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(9/19).</w:t>
      </w:r>
    </w:p>
  </w:footnote>
  <w:footnote w:id="9"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(14/242)،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والأبدان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(2/121).</w:t>
      </w:r>
    </w:p>
  </w:footnote>
  <w:footnote w:id="10"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اللطافة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(2/161).</w:t>
      </w:r>
    </w:p>
  </w:footnote>
  <w:footnote w:id="11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(7).</w:t>
      </w:r>
    </w:p>
  </w:footnote>
  <w:footnote w:id="12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(15/258)،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(2/674)،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(2/121).</w:t>
      </w:r>
    </w:p>
  </w:footnote>
  <w:footnote w:id="13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(16/394)،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اللطافة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(6/201)،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(3/3)،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(2/122).</w:t>
      </w:r>
    </w:p>
  </w:footnote>
  <w:footnote w:id="14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(149).</w:t>
      </w:r>
    </w:p>
  </w:footnote>
  <w:footnote w:id="15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(7-8).</w:t>
      </w:r>
    </w:p>
  </w:footnote>
  <w:footnote w:id="16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(153).</w:t>
      </w:r>
    </w:p>
  </w:footnote>
  <w:footnote w:id="17"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(15).</w:t>
      </w:r>
    </w:p>
  </w:footnote>
  <w:footnote w:id="18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900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أحداثه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19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br w:type="textWrapping"/>
        <w:t xml:space="preserve">(179).</w:t>
      </w:r>
    </w:p>
  </w:footnote>
  <w:footnote w:id="20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(19).</w:t>
      </w:r>
    </w:p>
  </w:footnote>
  <w:footnote w:id="21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(5/268).</w:t>
      </w:r>
    </w:p>
  </w:footnote>
  <w:footnote w:id="22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(24).</w:t>
      </w:r>
    </w:p>
  </w:footnote>
  <w:footnote w:id="23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(344-346).</w:t>
      </w:r>
    </w:p>
  </w:footnote>
  <w:footnote w:id="24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(344-396).</w:t>
      </w:r>
    </w:p>
  </w:footnote>
  <w:footnote w:id="25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المماليكي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(163).</w:t>
      </w:r>
    </w:p>
  </w:footnote>
  <w:footnote w:id="26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(33).</w:t>
      </w:r>
    </w:p>
  </w:footnote>
  <w:footnote w:id="27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(16).</w:t>
      </w:r>
    </w:p>
  </w:footnote>
  <w:footnote w:id="28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(2/8).</w:t>
      </w:r>
    </w:p>
  </w:footnote>
  <w:footnote w:id="29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(1/336).</w:t>
      </w:r>
    </w:p>
  </w:footnote>
  <w:footnote w:id="30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(9/255)،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(7/204).</w:t>
      </w:r>
    </w:p>
  </w:footnote>
  <w:footnote w:id="31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32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(10/131)،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(174).</w:t>
      </w:r>
    </w:p>
  </w:footnote>
  <w:footnote w:id="34"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(119)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35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(143).</w:t>
      </w:r>
    </w:p>
  </w:footnote>
  <w:footnote w:id="36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(10/305)،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(7/317).</w:t>
      </w:r>
    </w:p>
  </w:footnote>
  <w:footnote w:id="37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(7/259).</w:t>
      </w:r>
    </w:p>
  </w:footnote>
  <w:footnote w:id="38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(4/65)،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(8/51).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عصر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المؤلف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ind w:left="0" w:right="0"/>
      <w:jc w:val="center"/>
    </w:pPr>
    <w:rPr>
      <w:b w:val="1"/>
      <w:sz w:val="96"/>
      <w:szCs w:val="96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bidi w:val="1"/>
      <w:ind w:left="0" w:right="0"/>
      <w:jc w:val="center"/>
    </w:pPr>
    <w:rPr>
      <w:sz w:val="72"/>
      <w:szCs w:val="72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bidi w:val="1"/>
      <w:ind w:left="0" w:right="0"/>
      <w:jc w:val="center"/>
    </w:pPr>
    <w:rPr>
      <w:sz w:val="72"/>
      <w:szCs w:val="7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