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1"/>
        <w:bidi w:val="1"/>
        <w:spacing w:line="240" w:lineRule="auto"/>
        <w:ind w:left="0" w:right="0"/>
        <w:contextualSpacing w:val="0"/>
        <w:jc w:val="center"/>
        <w:rPr>
          <w:b w:val="0"/>
          <w:sz w:val="60"/>
          <w:szCs w:val="6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bidi w:val="1"/>
        <w:spacing w:line="240" w:lineRule="auto"/>
        <w:ind w:left="0" w:right="0"/>
        <w:contextualSpacing w:val="0"/>
        <w:jc w:val="center"/>
        <w:rPr>
          <w:b w:val="0"/>
          <w:sz w:val="60"/>
          <w:szCs w:val="60"/>
          <w:vertAlign w:val="baseline"/>
        </w:rPr>
      </w:pPr>
      <w:r w:rsidDel="00000000" w:rsidR="00000000" w:rsidRPr="00000000">
        <w:rPr>
          <w:b w:val="1"/>
          <w:sz w:val="60"/>
          <w:szCs w:val="60"/>
          <w:vertAlign w:val="baseline"/>
          <w:rtl w:val="1"/>
        </w:rPr>
        <w:t xml:space="preserve">الباب</w:t>
      </w:r>
      <w:r w:rsidDel="00000000" w:rsidR="00000000" w:rsidRPr="00000000">
        <w:rPr>
          <w:b w:val="1"/>
          <w:sz w:val="60"/>
          <w:szCs w:val="6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60"/>
          <w:szCs w:val="60"/>
          <w:vertAlign w:val="baseline"/>
          <w:rtl w:val="1"/>
        </w:rPr>
        <w:t xml:space="preserve">الثاني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/>
        <w:contextualSpacing w:val="0"/>
        <w:jc w:val="center"/>
        <w:rPr>
          <w:sz w:val="50"/>
          <w:szCs w:val="5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bidi w:val="1"/>
        <w:spacing w:line="240" w:lineRule="auto"/>
        <w:ind w:left="0" w:right="0"/>
        <w:contextualSpacing w:val="0"/>
        <w:jc w:val="center"/>
        <w:rPr>
          <w:b w:val="0"/>
          <w:sz w:val="48"/>
          <w:szCs w:val="48"/>
          <w:vertAlign w:val="baseline"/>
        </w:rPr>
      </w:pPr>
      <w:r w:rsidDel="00000000" w:rsidR="00000000" w:rsidRPr="00000000">
        <w:rPr>
          <w:b w:val="1"/>
          <w:sz w:val="48"/>
          <w:szCs w:val="48"/>
          <w:vertAlign w:val="baseline"/>
          <w:rtl w:val="1"/>
        </w:rPr>
        <w:t xml:space="preserve">تفسيـــر</w:t>
      </w:r>
      <w:r w:rsidDel="00000000" w:rsidR="00000000" w:rsidRPr="00000000">
        <w:rPr>
          <w:b w:val="1"/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8"/>
          <w:szCs w:val="48"/>
          <w:vertAlign w:val="baseline"/>
          <w:rtl w:val="1"/>
        </w:rPr>
        <w:t xml:space="preserve">غايـــة</w:t>
      </w:r>
      <w:r w:rsidDel="00000000" w:rsidR="00000000" w:rsidRPr="00000000">
        <w:rPr>
          <w:b w:val="1"/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8"/>
          <w:szCs w:val="48"/>
          <w:vertAlign w:val="baseline"/>
          <w:rtl w:val="1"/>
        </w:rPr>
        <w:t xml:space="preserve">الأمانـــي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0" w:right="0"/>
        <w:contextualSpacing w:val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right="0"/>
        <w:contextualSpacing w:val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</w:p>
    <w:p w:rsidR="00000000" w:rsidDel="00000000" w:rsidP="00000000" w:rsidRDefault="00000000" w:rsidRPr="00000000" w14:paraId="00000008">
      <w:pPr>
        <w:bidi w:val="1"/>
        <w:ind w:left="0" w:right="0"/>
        <w:contextualSpacing w:val="0"/>
        <w:jc w:val="center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0" w:right="0"/>
        <w:contextualSpacing w:val="0"/>
        <w:jc w:val="center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1"/>
        </w:rPr>
        <w:t xml:space="preserve">التعريف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 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بالكتاب</w:t>
      </w:r>
    </w:p>
    <w:p w:rsidR="00000000" w:rsidDel="00000000" w:rsidP="00000000" w:rsidRDefault="00000000" w:rsidRPr="00000000" w14:paraId="0000000A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ً: </w:t>
      </w:r>
      <w:r w:rsidDel="00000000" w:rsidR="00000000" w:rsidRPr="00000000">
        <w:rPr>
          <w:vertAlign w:val="baseline"/>
          <w:rtl w:val="1"/>
        </w:rPr>
        <w:t xml:space="preserve">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ونسبته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للمؤلف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ونسخه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B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1- </w:t>
      </w:r>
      <w:r w:rsidDel="00000000" w:rsidR="00000000" w:rsidRPr="00000000">
        <w:rPr>
          <w:b w:val="1"/>
          <w:vertAlign w:val="baseline"/>
          <w:rtl w:val="1"/>
        </w:rPr>
        <w:t xml:space="preserve">اسم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الكتاب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الرباني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كذا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سميته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خاضعا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الرباني</w:t>
      </w:r>
      <w:r w:rsidDel="00000000" w:rsidR="00000000" w:rsidRPr="00000000">
        <w:rPr>
          <w:vertAlign w:val="baseline"/>
          <w:rtl w:val="1"/>
        </w:rPr>
        <w:t xml:space="preserve">..."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المكتوب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الشقائق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النعمانية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المثاني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وسماه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الأخيار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المثاني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الرباني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بكتابه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2- </w:t>
      </w:r>
      <w:r w:rsidDel="00000000" w:rsidR="00000000" w:rsidRPr="00000000">
        <w:rPr>
          <w:b w:val="1"/>
          <w:vertAlign w:val="baseline"/>
          <w:rtl w:val="1"/>
        </w:rPr>
        <w:t xml:space="preserve">نسبته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للمؤلف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الرباني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5" w:right="0" w:hanging="56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كتبه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الكوثر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الجاري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 "...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الغطاء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بتفسيرنا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5" w:right="0" w:hanging="56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ترجم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للكوراني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5" w:right="0" w:hanging="56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تدوين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أيدينا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5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الرباني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تصنيف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-.</w:t>
      </w:r>
    </w:p>
    <w:p w:rsidR="00000000" w:rsidDel="00000000" w:rsidP="00000000" w:rsidRDefault="00000000" w:rsidRPr="00000000" w14:paraId="00000015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3- </w:t>
      </w:r>
      <w:r w:rsidDel="00000000" w:rsidR="00000000" w:rsidRPr="00000000">
        <w:rPr>
          <w:b w:val="1"/>
          <w:vertAlign w:val="baseline"/>
          <w:rtl w:val="1"/>
        </w:rPr>
        <w:t xml:space="preserve">نسخ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الكتاب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النسخ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وأكثرها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موجود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مكتبات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تركيا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التحقيق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كالتالي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3" w:right="0" w:hanging="42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داماد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باشا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(11، 146)،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(352)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لوحـة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(35)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سطرا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وتبدأ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(106/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)،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(155/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كتبت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بخط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وتمتاز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بقلة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الأخطاء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والسقط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والتحريف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3" w:right="0" w:hanging="42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3" w:right="0" w:hanging="42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صفحة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الرباني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فراغ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فاضت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مواهب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أتمكن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قراءته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أسفل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صفحة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وصغير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وقفية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داماد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باشا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الصفحة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الأخيرة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صفحة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3" w:right="0" w:hanging="42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أواسط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المبارك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وثمانين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وثمانمائة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النحيف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الأسيف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المحتاج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العفو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الغفور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اللطيف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الفقير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المعتصم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بالصمد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السينابي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عاملهم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بلطفه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3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تمتاز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ميزات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C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قلة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السقط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والأخطاء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وضوح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خطها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نسبيا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1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884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راجع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وصححها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حواشي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بخطه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العنوان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ملاكوراني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-، </w:t>
      </w:r>
      <w:r w:rsidDel="00000000" w:rsidR="00000000" w:rsidRPr="00000000">
        <w:rPr>
          <w:vertAlign w:val="baseline"/>
          <w:rtl w:val="1"/>
        </w:rPr>
        <w:t xml:space="preserve">وجميع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الحواشي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مؤلفه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ملاكوراني</w:t>
      </w:r>
      <w:r w:rsidDel="00000000" w:rsidR="00000000" w:rsidRPr="00000000">
        <w:rPr>
          <w:vertAlign w:val="baseline"/>
          <w:rtl w:val="1"/>
        </w:rPr>
        <w:t xml:space="preserve">".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الحاشية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صححه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مؤلفه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الوسع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الحواشي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بخطه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سعيه</w:t>
      </w:r>
      <w:r w:rsidDel="00000000" w:rsidR="00000000" w:rsidRPr="00000000">
        <w:rPr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1F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الميزات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لغيرها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وجعلتها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وأشرت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الاسم</w:t>
      </w:r>
      <w:r w:rsidDel="00000000" w:rsidR="00000000" w:rsidRPr="00000000">
        <w:rPr>
          <w:vertAlign w:val="baseline"/>
          <w:rtl w:val="1"/>
        </w:rPr>
        <w:t xml:space="preserve"> "</w:t>
      </w:r>
      <w:r w:rsidDel="00000000" w:rsidR="00000000" w:rsidRPr="00000000">
        <w:rPr>
          <w:vertAlign w:val="baseline"/>
          <w:rtl w:val="1"/>
        </w:rPr>
        <w:t xml:space="preserve">الأصل</w:t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وأثبت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وأشرت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أثبته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خلافها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الحاشية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إحالات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مطلقة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فاعتمادا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النسخة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 </w:t>
      </w:r>
      <w:r w:rsidDel="00000000" w:rsidR="00000000" w:rsidRPr="00000000">
        <w:rPr>
          <w:vertAlign w:val="baseline"/>
          <w:rtl w:val="1"/>
        </w:rPr>
        <w:t xml:space="preserve">نسخة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صوفيا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برقم</w:t>
      </w:r>
      <w:r w:rsidDel="00000000" w:rsidR="00000000" w:rsidRPr="00000000">
        <w:rPr>
          <w:vertAlign w:val="baseline"/>
          <w:rtl w:val="1"/>
        </w:rPr>
        <w:t xml:space="preserve"> (253)، </w:t>
      </w:r>
      <w:r w:rsidDel="00000000" w:rsidR="00000000" w:rsidRPr="00000000">
        <w:rPr>
          <w:vertAlign w:val="baseline"/>
          <w:rtl w:val="1"/>
        </w:rPr>
        <w:t xml:space="preserve">ولوحاتها</w:t>
      </w:r>
      <w:r w:rsidDel="00000000" w:rsidR="00000000" w:rsidRPr="00000000">
        <w:rPr>
          <w:vertAlign w:val="baseline"/>
          <w:rtl w:val="1"/>
        </w:rPr>
        <w:t xml:space="preserve"> (398) </w:t>
      </w:r>
      <w:r w:rsidDel="00000000" w:rsidR="00000000" w:rsidRPr="00000000">
        <w:rPr>
          <w:vertAlign w:val="baseline"/>
          <w:rtl w:val="1"/>
        </w:rPr>
        <w:t xml:space="preserve">لوحة</w:t>
      </w:r>
      <w:r w:rsidDel="00000000" w:rsidR="00000000" w:rsidRPr="00000000">
        <w:rPr>
          <w:vertAlign w:val="baseline"/>
          <w:rtl w:val="1"/>
        </w:rPr>
        <w:t xml:space="preserve">،</w:t>
      </w:r>
      <w:r w:rsidDel="00000000" w:rsidR="00000000" w:rsidRPr="00000000">
        <w:rPr>
          <w:vertAlign w:val="baseline"/>
          <w:rtl w:val="1"/>
        </w:rPr>
        <w:t xml:space="preserve">وعدد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الأسطر</w:t>
      </w:r>
      <w:r w:rsidDel="00000000" w:rsidR="00000000" w:rsidRPr="00000000">
        <w:rPr>
          <w:vertAlign w:val="baseline"/>
          <w:rtl w:val="1"/>
        </w:rPr>
        <w:t xml:space="preserve"> (35) </w:t>
      </w:r>
      <w:r w:rsidDel="00000000" w:rsidR="00000000" w:rsidRPr="00000000">
        <w:rPr>
          <w:vertAlign w:val="baseline"/>
          <w:rtl w:val="1"/>
        </w:rPr>
        <w:t xml:space="preserve">سطرا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جدا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واضحة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لوحات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يصعب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قراءتها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استبدلتها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العنوان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تملكات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ووقفيات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التواريخ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: 1031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1096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1103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فالنسخة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 </w:t>
      </w:r>
      <w:r w:rsidDel="00000000" w:rsidR="00000000" w:rsidRPr="00000000">
        <w:rPr>
          <w:vertAlign w:val="baseline"/>
          <w:rtl w:val="1"/>
        </w:rPr>
        <w:t xml:space="preserve">نسخة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مكتبة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بالقاهرة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برقم</w:t>
      </w:r>
      <w:r w:rsidDel="00000000" w:rsidR="00000000" w:rsidRPr="00000000">
        <w:rPr>
          <w:vertAlign w:val="baseline"/>
          <w:rtl w:val="1"/>
        </w:rPr>
        <w:t xml:space="preserve"> (1000)، </w:t>
      </w:r>
      <w:r w:rsidDel="00000000" w:rsidR="00000000" w:rsidRPr="00000000">
        <w:rPr>
          <w:vertAlign w:val="baseline"/>
          <w:rtl w:val="1"/>
        </w:rPr>
        <w:t xml:space="preserve">وتتكون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(360) </w:t>
      </w:r>
      <w:r w:rsidDel="00000000" w:rsidR="00000000" w:rsidRPr="00000000">
        <w:rPr>
          <w:vertAlign w:val="baseline"/>
          <w:rtl w:val="1"/>
        </w:rPr>
        <w:t xml:space="preserve">لوحة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الأسطر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لوحة</w:t>
      </w:r>
      <w:r w:rsidDel="00000000" w:rsidR="00000000" w:rsidRPr="00000000">
        <w:rPr>
          <w:vertAlign w:val="baseline"/>
          <w:rtl w:val="1"/>
        </w:rPr>
        <w:t xml:space="preserve"> (35) </w:t>
      </w:r>
      <w:r w:rsidDel="00000000" w:rsidR="00000000" w:rsidRPr="00000000">
        <w:rPr>
          <w:vertAlign w:val="baseline"/>
          <w:rtl w:val="1"/>
        </w:rPr>
        <w:t xml:space="preserve">سطرا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مغربي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أيوب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وتاريخ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1054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952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  <w:tab/>
      </w:r>
    </w:p>
    <w:p w:rsidR="00000000" w:rsidDel="00000000" w:rsidP="00000000" w:rsidRDefault="00000000" w:rsidRPr="00000000" w14:paraId="0000002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قابلتها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أكثرها</w:t>
      </w:r>
      <w:r w:rsidDel="00000000" w:rsidR="00000000" w:rsidRPr="00000000">
        <w:rPr>
          <w:vertAlign w:val="baseline"/>
          <w:rtl w:val="1"/>
        </w:rPr>
        <w:t xml:space="preserve">،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إثباتها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طلبا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للاختصار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السابقة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استفدت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4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نسخة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مكتبة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برقم</w:t>
      </w:r>
      <w:r w:rsidDel="00000000" w:rsidR="00000000" w:rsidRPr="00000000">
        <w:rPr>
          <w:vertAlign w:val="baseline"/>
          <w:rtl w:val="1"/>
        </w:rPr>
        <w:t xml:space="preserve"> (4398)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أفندي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رقم</w:t>
      </w:r>
      <w:r w:rsidDel="00000000" w:rsidR="00000000" w:rsidRPr="00000000">
        <w:rPr>
          <w:vertAlign w:val="baseline"/>
          <w:rtl w:val="1"/>
        </w:rPr>
        <w:t xml:space="preserve"> (26)،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مقاربة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لنسخة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وحواشيها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نسخة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مكتبة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برقم</w:t>
      </w:r>
      <w:r w:rsidDel="00000000" w:rsidR="00000000" w:rsidRPr="00000000">
        <w:rPr>
          <w:vertAlign w:val="baseline"/>
          <w:rtl w:val="1"/>
        </w:rPr>
        <w:t xml:space="preserve"> (41/212)،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مكتبة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الأخطاء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تمتاز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بميزة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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تقريبا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26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نسخة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الحميدية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برقم</w:t>
      </w:r>
      <w:r w:rsidDel="00000000" w:rsidR="00000000" w:rsidRPr="00000000">
        <w:rPr>
          <w:vertAlign w:val="baseline"/>
          <w:rtl w:val="1"/>
        </w:rPr>
        <w:t xml:space="preserve"> (7، 108)، </w:t>
      </w:r>
      <w:r w:rsidDel="00000000" w:rsidR="00000000" w:rsidRPr="00000000">
        <w:rPr>
          <w:vertAlign w:val="baseline"/>
          <w:rtl w:val="1"/>
        </w:rPr>
        <w:t xml:space="preserve">ويوجد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مكتبة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جامعة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برقم</w:t>
      </w:r>
      <w:r w:rsidDel="00000000" w:rsidR="00000000" w:rsidRPr="00000000">
        <w:rPr>
          <w:vertAlign w:val="baseline"/>
          <w:rtl w:val="1"/>
        </w:rPr>
        <w:t xml:space="preserve"> (8213)،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وآيا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صوفيا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الغالب</w:t>
      </w:r>
      <w:r w:rsidDel="00000000" w:rsidR="00000000" w:rsidRPr="00000000">
        <w:rPr>
          <w:vertAlign w:val="baseline"/>
          <w:rtl w:val="1"/>
        </w:rPr>
        <w:t xml:space="preserve">- 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تحريفا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وأخطاء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ويوجد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لوحات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واضحة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قراءتها</w:t>
      </w:r>
      <w:r w:rsidDel="00000000" w:rsidR="00000000" w:rsidRPr="00000000">
        <w:rPr>
          <w:vertAlign w:val="baseline"/>
          <w:rtl w:val="1"/>
        </w:rPr>
        <w:t xml:space="preserve">.</w:t>
      </w:r>
    </w:p>
    <w:sectPr>
      <w:headerReference r:id="rId7" w:type="default"/>
      <w:footerReference r:id="rId8" w:type="default"/>
      <w:footerReference r:id="rId9" w:type="even"/>
      <w:pgSz w:h="16838" w:w="11906"/>
      <w:pgMar w:bottom="1701" w:top="1985" w:left="1985" w:right="1985" w:header="1134" w:footer="851"/>
      <w:pgNumType w:start="4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02"/>
        <w:szCs w:val="102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(2/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).</w:t>
      </w:r>
    </w:p>
  </w:footnote>
  <w:footnote w:id="1"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الحرم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الحرم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(2/189).</w:t>
      </w:r>
    </w:p>
  </w:footnote>
  <w:footnote w:id="2"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الشقائق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النعمانية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(1/146)،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التسمية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الشقائق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(1/282)،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الرحمانية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(45).</w:t>
      </w:r>
    </w:p>
  </w:footnote>
  <w:footnote w:id="3"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الأخيار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(49/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الكوثر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الجاري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468)،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477).</w:t>
      </w:r>
    </w:p>
  </w:footnote>
  <w:footnote w:id="5"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(42).</w:t>
      </w:r>
    </w:p>
  </w:footnote>
  <w:footnote w:id="6"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الفهرس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الشامل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المخطوط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مخطوطات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وعلومه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(1/509).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الدراسة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اسم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الكتاب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ونسخه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bidi w:val="1"/>
      <w:ind w:left="0" w:right="0"/>
      <w:jc w:val="center"/>
    </w:pPr>
    <w:rPr>
      <w:sz w:val="52"/>
      <w:szCs w:val="52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bidi w:val="1"/>
      <w:ind w:left="0" w:right="0"/>
      <w:jc w:val="center"/>
    </w:pPr>
    <w:rPr>
      <w:sz w:val="72"/>
      <w:szCs w:val="7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bidi w:val="1"/>
      <w:ind w:left="0" w:right="0"/>
      <w:jc w:val="center"/>
    </w:pPr>
    <w:rPr>
      <w:sz w:val="52"/>
      <w:szCs w:val="5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