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bidi w:val="1"/>
        <w:ind w:left="0" w:right="0"/>
        <w:contextualSpacing w:val="0"/>
        <w:jc w:val="both"/>
        <w:rPr>
          <w:sz w:val="42"/>
          <w:szCs w:val="42"/>
          <w:vertAlign w:val="baseline"/>
        </w:rPr>
      </w:pPr>
      <w:r w:rsidDel="00000000" w:rsidR="00000000" w:rsidRPr="00000000">
        <w:rPr>
          <w:sz w:val="42"/>
          <w:szCs w:val="42"/>
          <w:vertAlign w:val="baseline"/>
          <w:rtl w:val="1"/>
        </w:rPr>
        <w:t xml:space="preserve">ثانيا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ً: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مصادر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المؤلف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في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تفسيره</w:t>
      </w:r>
      <w:r w:rsidDel="00000000" w:rsidR="00000000" w:rsidRPr="00000000">
        <w:rPr>
          <w:sz w:val="42"/>
          <w:szCs w:val="42"/>
          <w:vertAlign w:val="superscript"/>
          <w:rtl w:val="0"/>
        </w:rPr>
        <w:t xml:space="preserve">(</w:t>
      </w:r>
      <w:r w:rsidDel="00000000" w:rsidR="00000000" w:rsidRPr="00000000">
        <w:rPr>
          <w:sz w:val="42"/>
          <w:szCs w:val="42"/>
          <w:vertAlign w:val="superscript"/>
        </w:rPr>
        <w:footnoteReference w:customMarkFollows="0" w:id="0"/>
      </w:r>
      <w:r w:rsidDel="00000000" w:rsidR="00000000" w:rsidRPr="00000000">
        <w:rPr>
          <w:sz w:val="42"/>
          <w:szCs w:val="42"/>
          <w:vertAlign w:val="superscript"/>
          <w:rtl w:val="0"/>
        </w:rPr>
        <w:t xml:space="preserve">)</w:t>
      </w:r>
      <w:r w:rsidDel="00000000" w:rsidR="00000000" w:rsidRPr="00000000">
        <w:rPr>
          <w:sz w:val="42"/>
          <w:szCs w:val="42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1">
      <w:pPr>
        <w:bidi w:val="1"/>
        <w:ind w:left="-2" w:right="0" w:firstLine="567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اعتمد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الفنون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أبرز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يلي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2">
      <w:pPr>
        <w:bidi w:val="1"/>
        <w:ind w:left="423" w:right="0" w:hanging="423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حقائق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التنـزيل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وعيون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الأقاويل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التأويل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للزمخشري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3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كثيرا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للمؤلف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كسائر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مصادره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بالمعنى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إفادته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أضرب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متنوعة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ind w:left="423" w:right="0" w:hanging="423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أ</w:t>
      </w:r>
      <w:r w:rsidDel="00000000" w:rsidR="00000000" w:rsidRPr="00000000">
        <w:rPr>
          <w:b w:val="1"/>
          <w:vertAlign w:val="baseline"/>
          <w:rtl w:val="1"/>
        </w:rPr>
        <w:t xml:space="preserve">- </w:t>
      </w:r>
      <w:r w:rsidDel="00000000" w:rsidR="00000000" w:rsidRPr="00000000">
        <w:rPr>
          <w:b w:val="1"/>
          <w:vertAlign w:val="baseline"/>
          <w:rtl w:val="1"/>
        </w:rPr>
        <w:t xml:space="preserve">نقل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معنى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أو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جزء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منها</w:t>
      </w:r>
      <w:r w:rsidDel="00000000" w:rsidR="00000000" w:rsidRPr="00000000">
        <w:rPr>
          <w:b w:val="1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ind w:left="0" w:right="0" w:firstLine="423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</w:t>
      </w: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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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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استشهدوا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بعلمهم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براءتهم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ديانتهم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مجيئهم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ومداخلتهم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دخلوا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وأفواه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رواحلهم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لئلا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تتناول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زرعا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مسيرها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البضاعة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دسها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الفتيان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يوما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الدهر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bidi w:val="1"/>
        <w:ind w:left="423" w:right="0" w:hanging="423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ألفاظه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bidi w:val="1"/>
        <w:ind w:left="423" w:right="0" w:hanging="423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ب</w:t>
      </w:r>
      <w:r w:rsidDel="00000000" w:rsidR="00000000" w:rsidRPr="00000000">
        <w:rPr>
          <w:b w:val="1"/>
          <w:vertAlign w:val="baseline"/>
          <w:rtl w:val="1"/>
        </w:rPr>
        <w:t xml:space="preserve">- </w:t>
      </w:r>
      <w:r w:rsidDel="00000000" w:rsidR="00000000" w:rsidRPr="00000000">
        <w:rPr>
          <w:b w:val="1"/>
          <w:vertAlign w:val="baseline"/>
          <w:rtl w:val="1"/>
        </w:rPr>
        <w:t xml:space="preserve">نقل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الأقوال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والاحتمالات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معنى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ind w:left="0" w:right="0" w:firstLine="423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0"/>
          <w:szCs w:val="30"/>
          <w:vertAlign w:val="baseline"/>
          <w:rtl w:val="1"/>
        </w:rPr>
        <w:t xml:space="preserve">  ... </w:t>
      </w:r>
      <w:r w:rsidDel="00000000" w:rsidR="00000000" w:rsidRPr="00000000">
        <w:rPr>
          <w:color w:val="000000"/>
          <w:sz w:val="30"/>
          <w:szCs w:val="30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واذكر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المنافقين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قلوبهم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المشركين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المنافقون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لتغاير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الوصفين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اهـ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الثلاثة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bidi w:val="1"/>
        <w:ind w:left="423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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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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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وانتفاؤه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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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إقرارهم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وألوهيته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مقلدون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آباءهم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استدلال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يعبدونه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إله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bidi w:val="1"/>
        <w:ind w:left="423" w:right="0" w:hanging="423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وهذان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bidi w:val="1"/>
        <w:ind w:left="423" w:right="0" w:hanging="423"/>
        <w:contextualSpacing w:val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جـ</w:t>
      </w:r>
      <w:r w:rsidDel="00000000" w:rsidR="00000000" w:rsidRPr="00000000">
        <w:rPr>
          <w:b w:val="1"/>
          <w:vertAlign w:val="baseline"/>
          <w:rtl w:val="1"/>
        </w:rPr>
        <w:t xml:space="preserve">- </w:t>
      </w:r>
      <w:r w:rsidDel="00000000" w:rsidR="00000000" w:rsidRPr="00000000">
        <w:rPr>
          <w:b w:val="1"/>
          <w:vertAlign w:val="baseline"/>
          <w:rtl w:val="1"/>
        </w:rPr>
        <w:t xml:space="preserve">نقل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فائدة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أو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معنى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زائد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يتعلق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بالآية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E">
      <w:pPr>
        <w:bidi w:val="1"/>
        <w:ind w:left="0" w:right="0" w:firstLine="423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مصدرا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: (</w:t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يستخدمه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  <w:br w:type="textWrapping"/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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 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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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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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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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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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يطلبوا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التبديل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bidi w:val="1"/>
        <w:ind w:left="423" w:right="0" w:hanging="423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د</w:t>
      </w:r>
      <w:r w:rsidDel="00000000" w:rsidR="00000000" w:rsidRPr="00000000">
        <w:rPr>
          <w:b w:val="1"/>
          <w:vertAlign w:val="baseline"/>
          <w:rtl w:val="1"/>
        </w:rPr>
        <w:t xml:space="preserve">- </w:t>
      </w:r>
      <w:r w:rsidDel="00000000" w:rsidR="00000000" w:rsidRPr="00000000">
        <w:rPr>
          <w:b w:val="1"/>
          <w:vertAlign w:val="baseline"/>
          <w:rtl w:val="1"/>
        </w:rPr>
        <w:t xml:space="preserve">نقل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الأوجه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النحوية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والإعرابية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ind w:left="0" w:right="0" w:firstLine="423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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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وخبر</w:t>
      </w:r>
      <w:r w:rsidDel="00000000" w:rsidR="00000000" w:rsidRPr="00000000">
        <w:rPr>
          <w:vertAlign w:val="baseline"/>
          <w:rtl w:val="1"/>
        </w:rPr>
        <w:t xml:space="preserve">..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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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 </w:t>
      </w:r>
      <w:r w:rsidDel="00000000" w:rsidR="00000000" w:rsidRPr="00000000">
        <w:rPr>
          <w:vertAlign w:val="baseline"/>
          <w:rtl w:val="1"/>
        </w:rPr>
        <w:t xml:space="preserve">مفعول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أخرج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يشمل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انتفع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الإنسان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والجار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والمجرور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التبعيضية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مفعول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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مصدر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أخرج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الرزق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bidi w:val="1"/>
        <w:ind w:left="423" w:right="0" w:hanging="423"/>
        <w:contextualSpacing w:val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هـ</w:t>
      </w:r>
      <w:r w:rsidDel="00000000" w:rsidR="00000000" w:rsidRPr="00000000">
        <w:rPr>
          <w:b w:val="1"/>
          <w:vertAlign w:val="baseline"/>
          <w:rtl w:val="1"/>
        </w:rPr>
        <w:t xml:space="preserve">- </w:t>
      </w:r>
      <w:r w:rsidDel="00000000" w:rsidR="00000000" w:rsidRPr="00000000">
        <w:rPr>
          <w:b w:val="1"/>
          <w:vertAlign w:val="baseline"/>
          <w:rtl w:val="1"/>
        </w:rPr>
        <w:t xml:space="preserve">نقل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الإسرائيليات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2">
      <w:pPr>
        <w:bidi w:val="1"/>
        <w:ind w:left="0" w:right="0" w:firstLine="423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وسيأتي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الإسرائيليات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يسوقه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إسرائيليات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يظهر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بالتتبع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bidi w:val="1"/>
        <w:ind w:left="423" w:right="0" w:hanging="423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أبرز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المجالات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استفاد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وهناك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مجالات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ولكنها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توجيه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الأقوال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لترجيحها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ضعفها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وردها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وأخيرا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أشير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التابعين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للفراء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الزجاج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الفارسي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نسبته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وذكرت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استفاده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يؤكد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يسوقها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متفرقة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تتبعاته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والإشارات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الحواشي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عنايته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بكتابه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واهتمامه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بنا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أثناء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ترجمة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عنايته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بالكشاف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وقراءته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مشايخه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ودراسته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لحواشيه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عظيم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استفادة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شخصيته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المتميزة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ونظره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يمحص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فيقبله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وربما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الصواب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تنوعت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الردود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والتتبعات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فشملت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6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ويجدر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التذكير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الردود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الحاشية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أغلب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قائله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العبارات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الردود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والتتبعات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  <w:br w:type="textWrapping"/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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وحفص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ثاني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المفعولين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محذوف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سبقوا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الضمير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للنبي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طريقة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الالتفات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حاسب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ودعوى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باطلة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لموافقة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وحفص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السبعة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جعفر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العشرة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محيصن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وطلحة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الشاذة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إلخ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الحاشية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قائله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ً-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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 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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مكيل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حثا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لأبيهم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إرسال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أخيه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يعقوب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يريد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غناء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القدر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ابتداء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بنيه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زه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الحاشية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قائله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والكوراني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ردوده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وتعقباته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مؤدب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اللفظ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يأتي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تجريح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إساءة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ولكنه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يغلظ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مواضع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قليلة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جدا</w:t>
      </w:r>
      <w:r w:rsidDel="00000000" w:rsidR="00000000" w:rsidRPr="00000000">
        <w:rPr>
          <w:vertAlign w:val="baseline"/>
          <w:rtl w:val="1"/>
        </w:rPr>
        <w:t xml:space="preserve">ً-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يستدعي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....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قرأه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الإضافة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ساكنة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قطرب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وأبوعمرو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ضعيفة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فلضعف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بصيرته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إلخ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والقائل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ضعيفة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الحاشية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يرد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يتعقب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يضم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البيضاوي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البيضاوي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ولذلك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الحاشية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يرد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والقاضي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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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طرفا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سفيان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تجارة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عظيمة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لقريش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أربعون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راكبا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أبوسفيان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العاص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هشام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سهو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هشام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النفير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وقتل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والبيضاوي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الحاشية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قائله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والقاضي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ind w:left="0" w:right="0"/>
        <w:contextualSpacing w:val="0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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br w:type="textWrapping"/>
        <w:t xml:space="preserve">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"... </w:t>
      </w:r>
      <w:r w:rsidDel="00000000" w:rsidR="00000000" w:rsidRPr="00000000">
        <w:rPr>
          <w:vertAlign w:val="baseline"/>
          <w:rtl w:val="1"/>
        </w:rPr>
        <w:t xml:space="preserve">والحديث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يروونه</w:t>
      </w:r>
      <w:r w:rsidDel="00000000" w:rsidR="00000000" w:rsidRPr="00000000">
        <w:rPr>
          <w:vertAlign w:val="baseline"/>
          <w:rtl w:val="1"/>
        </w:rPr>
        <w:t xml:space="preserve">:</w:t>
      </w:r>
      <w:r w:rsidDel="00000000" w:rsidR="00000000" w:rsidRPr="00000000">
        <w:rPr>
          <w:color w:val="000000"/>
          <w:vertAlign w:val="baseline"/>
          <w:rtl w:val="0"/>
        </w:rPr>
        <w:t xml:space="preserve"> » 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إن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عدنا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ً 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دار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الله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التي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لا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يسكنها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إلا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النبيون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والصديقون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والشهداء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vertAlign w:val="baseline"/>
          <w:rtl w:val="1"/>
        </w:rPr>
        <w:t xml:space="preserve"> «. </w:t>
      </w:r>
      <w:r w:rsidDel="00000000" w:rsidR="00000000" w:rsidRPr="00000000">
        <w:rPr>
          <w:color w:val="000000"/>
          <w:vertAlign w:val="baseline"/>
          <w:rtl w:val="1"/>
        </w:rPr>
        <w:t xml:space="preserve">ليس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لـه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أصل</w:t>
      </w:r>
      <w:r w:rsidDel="00000000" w:rsidR="00000000" w:rsidRPr="00000000">
        <w:rPr>
          <w:color w:val="000000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vertAlign w:val="baseline"/>
          <w:rtl w:val="1"/>
        </w:rPr>
        <w:t xml:space="preserve">وي</w:t>
      </w:r>
      <w:r w:rsidDel="00000000" w:rsidR="00000000" w:rsidRPr="00000000">
        <w:rPr>
          <w:color w:val="000000"/>
          <w:vertAlign w:val="baseline"/>
          <w:rtl w:val="1"/>
        </w:rPr>
        <w:t xml:space="preserve">َ</w:t>
      </w:r>
      <w:r w:rsidDel="00000000" w:rsidR="00000000" w:rsidRPr="00000000">
        <w:rPr>
          <w:color w:val="000000"/>
          <w:vertAlign w:val="baseline"/>
          <w:rtl w:val="1"/>
        </w:rPr>
        <w:t xml:space="preserve">ر</w:t>
      </w:r>
      <w:r w:rsidDel="00000000" w:rsidR="00000000" w:rsidRPr="00000000">
        <w:rPr>
          <w:color w:val="000000"/>
          <w:vertAlign w:val="baseline"/>
          <w:rtl w:val="1"/>
        </w:rPr>
        <w:t xml:space="preserve">ُ</w:t>
      </w:r>
      <w:r w:rsidDel="00000000" w:rsidR="00000000" w:rsidRPr="00000000">
        <w:rPr>
          <w:color w:val="000000"/>
          <w:vertAlign w:val="baseline"/>
          <w:rtl w:val="1"/>
        </w:rPr>
        <w:t xml:space="preserve">د</w:t>
      </w:r>
      <w:r w:rsidDel="00000000" w:rsidR="00000000" w:rsidRPr="00000000">
        <w:rPr>
          <w:color w:val="000000"/>
          <w:vertAlign w:val="baseline"/>
          <w:rtl w:val="1"/>
        </w:rPr>
        <w:t xml:space="preserve">ُّ</w:t>
      </w:r>
      <w:r w:rsidDel="00000000" w:rsidR="00000000" w:rsidRPr="00000000">
        <w:rPr>
          <w:color w:val="000000"/>
          <w:vertAlign w:val="baseline"/>
          <w:rtl w:val="1"/>
        </w:rPr>
        <w:t xml:space="preserve">ه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هذا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النص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لأنه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أثبته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لكافة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المؤمنين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والمؤمنات</w:t>
      </w:r>
      <w:r w:rsidDel="00000000" w:rsidR="00000000" w:rsidRPr="00000000">
        <w:rPr>
          <w:color w:val="000000"/>
          <w:vertAlign w:val="baseline"/>
          <w:rtl w:val="1"/>
        </w:rPr>
        <w:t xml:space="preserve">"</w:t>
      </w:r>
      <w:r w:rsidDel="00000000" w:rsidR="00000000" w:rsidRPr="00000000">
        <w:rPr>
          <w:color w:val="000000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vertAlign w:val="superscript"/>
        </w:rPr>
        <w:footnoteReference w:customMarkFollows="0" w:id="37"/>
      </w:r>
      <w:r w:rsidDel="00000000" w:rsidR="00000000" w:rsidRPr="00000000">
        <w:rPr>
          <w:color w:val="000000"/>
          <w:vertAlign w:val="superscript"/>
          <w:rtl w:val="0"/>
        </w:rPr>
        <w:t xml:space="preserve">)</w: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bidi w:val="1"/>
        <w:ind w:left="0" w:right="0"/>
        <w:contextualSpacing w:val="0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vertAlign w:val="baseline"/>
          <w:rtl w:val="1"/>
        </w:rPr>
        <w:tab/>
      </w:r>
      <w:r w:rsidDel="00000000" w:rsidR="00000000" w:rsidRPr="00000000">
        <w:rPr>
          <w:color w:val="000000"/>
          <w:vertAlign w:val="baseline"/>
          <w:rtl w:val="1"/>
        </w:rPr>
        <w:t xml:space="preserve">وهذا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الحديث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الذي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أشار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إليه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المؤلف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ساقه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الزمخشري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والبيضاوي</w:t>
      </w:r>
      <w:r w:rsidDel="00000000" w:rsidR="00000000" w:rsidRPr="00000000">
        <w:rPr>
          <w:color w:val="000000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vertAlign w:val="superscript"/>
        </w:rPr>
        <w:footnoteReference w:customMarkFollows="0" w:id="38"/>
      </w:r>
      <w:r w:rsidDel="00000000" w:rsidR="00000000" w:rsidRPr="00000000">
        <w:rPr>
          <w:color w:val="000000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vertAlign w:val="baseline"/>
          <w:rtl w:val="1"/>
        </w:rPr>
        <w:t xml:space="preserve">وقد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جاء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الحاشية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عند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هذا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الموضع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قولـه</w:t>
      </w:r>
      <w:r w:rsidDel="00000000" w:rsidR="00000000" w:rsidRPr="00000000">
        <w:rPr>
          <w:color w:val="000000"/>
          <w:vertAlign w:val="baseline"/>
          <w:rtl w:val="1"/>
        </w:rPr>
        <w:t xml:space="preserve">: </w:t>
      </w:r>
      <w:r w:rsidDel="00000000" w:rsidR="00000000" w:rsidRPr="00000000">
        <w:rPr>
          <w:color w:val="000000"/>
          <w:vertAlign w:val="baseline"/>
          <w:rtl w:val="1"/>
        </w:rPr>
        <w:t xml:space="preserve">ذكره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الكشاف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والقاضي</w:t>
      </w:r>
      <w:r w:rsidDel="00000000" w:rsidR="00000000" w:rsidRPr="00000000">
        <w:rPr>
          <w:color w:val="000000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vertAlign w:val="superscript"/>
        </w:rPr>
        <w:footnoteReference w:customMarkFollows="0" w:id="39"/>
      </w:r>
      <w:r w:rsidDel="00000000" w:rsidR="00000000" w:rsidRPr="00000000">
        <w:rPr>
          <w:color w:val="000000"/>
          <w:vertAlign w:val="superscript"/>
          <w:rtl w:val="0"/>
        </w:rPr>
        <w:t xml:space="preserve">)</w: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bidi w:val="1"/>
        <w:ind w:left="0" w:right="0"/>
        <w:contextualSpacing w:val="0"/>
        <w:jc w:val="both"/>
        <w:rPr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الختام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تعقب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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 ...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  </w:t>
      </w:r>
      <w:r w:rsidDel="00000000" w:rsidR="00000000" w:rsidRPr="00000000">
        <w:rPr>
          <w:vertAlign w:val="baseline"/>
          <w:rtl w:val="1"/>
        </w:rPr>
        <w:t xml:space="preserve">نادى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فأبطأ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الإجابة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color w:val="000000"/>
          <w:vertAlign w:val="baseline"/>
          <w:rtl w:val="0"/>
        </w:rPr>
        <w:t xml:space="preserve">» 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ما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أ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َ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و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ْ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جب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إبطاءك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؟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vertAlign w:val="baseline"/>
          <w:rtl w:val="1"/>
        </w:rPr>
        <w:t xml:space="preserve">«. </w:t>
      </w:r>
      <w:r w:rsidDel="00000000" w:rsidR="00000000" w:rsidRPr="00000000">
        <w:rPr>
          <w:color w:val="000000"/>
          <w:vertAlign w:val="baseline"/>
          <w:rtl w:val="1"/>
        </w:rPr>
        <w:t xml:space="preserve">قال</w:t>
      </w:r>
      <w:r w:rsidDel="00000000" w:rsidR="00000000" w:rsidRPr="00000000">
        <w:rPr>
          <w:color w:val="000000"/>
          <w:vertAlign w:val="baseline"/>
          <w:rtl w:val="1"/>
        </w:rPr>
        <w:t xml:space="preserve">: </w:t>
      </w:r>
      <w:r w:rsidDel="00000000" w:rsidR="00000000" w:rsidRPr="00000000">
        <w:rPr>
          <w:color w:val="000000"/>
          <w:vertAlign w:val="baseline"/>
          <w:rtl w:val="1"/>
        </w:rPr>
        <w:t xml:space="preserve">كنت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أصلي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قال</w:t>
      </w:r>
      <w:r w:rsidDel="00000000" w:rsidR="00000000" w:rsidRPr="00000000">
        <w:rPr>
          <w:color w:val="000000"/>
          <w:vertAlign w:val="baseline"/>
          <w:rtl w:val="1"/>
        </w:rPr>
        <w:t xml:space="preserve">: » 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ألم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تسمع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قولـه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تعالى</w:t>
      </w:r>
      <w:r w:rsidDel="00000000" w:rsidR="00000000" w:rsidRPr="00000000">
        <w:rPr>
          <w:b w:val="1"/>
          <w:color w:val="000000"/>
          <w:vertAlign w:val="baseline"/>
          <w:rtl w:val="1"/>
        </w:rPr>
        <w:t xml:space="preserve">: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rtl w:val="1"/>
        </w:rPr>
      </w:r>
      <w:r w:rsidDel="00000000" w:rsidR="00000000" w:rsidRPr="00000000">
        <w:rPr>
          <w:color w:val="000000"/>
          <w:vertAlign w:val="baseline"/>
          <w:rtl w:val="1"/>
        </w:rPr>
        <w:t xml:space="preserve">؟«.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والقول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بأن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المصلي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بي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سهو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ٌ"</w:t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41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</w:t>
      </w:r>
      <w:r w:rsidDel="00000000" w:rsidR="00000000" w:rsidRPr="00000000">
        <w:rPr>
          <w:color w:val="000000"/>
          <w:sz w:val="36"/>
          <w:szCs w:val="36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bidi w:val="1"/>
        <w:ind w:left="0" w:right="0"/>
        <w:contextualSpacing w:val="0"/>
        <w:jc w:val="both"/>
        <w:rPr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ab/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والقائل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بأنه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ُ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بي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ّ -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-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هو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الزمخشري</w:t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42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وجماعة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ولذا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جاء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الحاشية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قولـه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: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قائله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الكشاف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.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والصواب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هنا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هو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ذكره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الزمخشري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لأن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القصة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ثابتة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لأبي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--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حديث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أبي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هريرة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--</w:t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43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</w:t>
      </w:r>
      <w:r w:rsidDel="00000000" w:rsidR="00000000" w:rsidRPr="00000000">
        <w:rPr>
          <w:color w:val="000000"/>
          <w:sz w:val="36"/>
          <w:szCs w:val="36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bidi w:val="1"/>
        <w:ind w:left="0" w:right="0"/>
        <w:contextualSpacing w:val="0"/>
        <w:jc w:val="both"/>
        <w:rPr>
          <w:b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ind w:left="0" w:right="0"/>
        <w:contextualSpacing w:val="0"/>
        <w:jc w:val="both"/>
        <w:rPr>
          <w:color w:val="000000"/>
          <w:sz w:val="36"/>
          <w:szCs w:val="36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2-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أنوار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التنـزيل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وأسرار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التأويل</w:t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44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للبيضاوي</w:t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45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</w:t>
      </w:r>
      <w:r w:rsidDel="00000000" w:rsidR="00000000" w:rsidRPr="00000000">
        <w:rPr>
          <w:color w:val="000000"/>
          <w:sz w:val="36"/>
          <w:szCs w:val="36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4">
      <w:pPr>
        <w:bidi w:val="1"/>
        <w:ind w:left="0" w:right="0"/>
        <w:contextualSpacing w:val="0"/>
        <w:jc w:val="both"/>
        <w:rPr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ab/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وهو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المصادر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المهمة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للمؤلف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تفسيره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فقد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أفاد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منه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كثيرا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ً،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ونستطيع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نعتبره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الكتاب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الثاني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بعد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الكشاف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حيث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إفادة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المؤلف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منه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وما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أذكره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هنا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النماذج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فهو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مما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استفاده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المؤلف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مما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انفرد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به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البيضاوي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ولم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ينقله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عن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الزمخشري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فإن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المؤلف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قد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نقل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تفسيره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أشياء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ذكرها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الزمخشري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فقط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كما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نقل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أشياء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ذكرها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الزمخشري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ونقلها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عنه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البيضاوي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ونقل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أشياء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ذكرها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البيضاوي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فقط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أو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ذكر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الزمخشري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أصلها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فجاء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البيضاوي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وزاد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عليها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وأضاف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أو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هذب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ورتب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وهذا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هو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المقصود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لنا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هذا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المبحث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ind w:left="0" w:right="0"/>
        <w:contextualSpacing w:val="0"/>
        <w:jc w:val="both"/>
        <w:rPr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ab/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واستفادة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المؤلف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-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رحمه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الله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-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البيضاوي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على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أنواع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منها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6">
      <w:pPr>
        <w:bidi w:val="1"/>
        <w:ind w:left="423" w:right="0" w:hanging="423"/>
        <w:contextualSpacing w:val="0"/>
        <w:jc w:val="both"/>
        <w:rPr>
          <w:b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أ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-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نقل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معنى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أو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جزء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منها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ind w:left="423" w:right="0"/>
        <w:contextualSpacing w:val="0"/>
        <w:jc w:val="both"/>
        <w:rPr>
          <w:color w:val="000000"/>
          <w:sz w:val="36"/>
          <w:szCs w:val="36"/>
          <w:vertAlign w:val="baseline"/>
        </w:rPr>
      </w:pP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ومن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أمثلة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ذلك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أورده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عند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قولـه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تعالى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... </w:t>
      </w:r>
      <w:r w:rsidDel="00000000" w:rsidR="00000000" w:rsidRPr="00000000">
        <w:rPr>
          <w:b w:val="1"/>
          <w:color w:val="000000"/>
          <w:sz w:val="38"/>
          <w:szCs w:val="38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46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قال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-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رحمه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الله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أهلكوا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بالطوفان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أهلكوا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بريح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صرصر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color w:val="000000"/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أهلكوا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بالرجفة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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color w:val="000000"/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أهلك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نمرود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بالبعوضة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وأهلك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أتباعه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br w:type="textWrapping"/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قوم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شعيب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أرسل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عليهم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سحابة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مثل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الظلة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أحرقتهم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مدائن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قوم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لوط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الأ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َ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ف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ْ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ك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-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بفتح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الهمزة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-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وهو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: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القلب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سميت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بها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لأنه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تعالى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جعل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عاليها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سافلها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"</w:t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47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.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وهذا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النص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بنحوه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تفسير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البيضاوي</w:t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48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</w:t>
      </w:r>
      <w:r w:rsidDel="00000000" w:rsidR="00000000" w:rsidRPr="00000000">
        <w:rPr>
          <w:color w:val="000000"/>
          <w:sz w:val="36"/>
          <w:szCs w:val="36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bidi w:val="1"/>
        <w:ind w:left="423" w:right="0" w:hanging="423"/>
        <w:contextualSpacing w:val="0"/>
        <w:jc w:val="both"/>
        <w:rPr>
          <w:b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ب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-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نقل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بعض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الفوائد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أو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النكات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البلاغية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أو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الأحكام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المتعلقة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بالآية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ind w:left="423" w:right="0" w:hanging="423"/>
        <w:contextualSpacing w:val="0"/>
        <w:jc w:val="both"/>
        <w:rPr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ab/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ففي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قولـه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تعالى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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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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49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قال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-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ناقلا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ً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عن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البيضاوي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-: "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ذكر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للبلاغ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ثلاث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فوائد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هي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الحكمة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إنزال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الكتب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: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تكميل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الرسل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المرسل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إليهم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واستكمال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القوة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النظرية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التي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غايتها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التوحيد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وإصلاح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القوة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العملية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بالتدرع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بلباس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التقوى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..."</w:t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50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</w:t>
      </w:r>
      <w:r w:rsidDel="00000000" w:rsidR="00000000" w:rsidRPr="00000000">
        <w:rPr>
          <w:color w:val="000000"/>
          <w:sz w:val="36"/>
          <w:szCs w:val="36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A">
      <w:pPr>
        <w:bidi w:val="1"/>
        <w:ind w:left="423" w:right="0" w:hanging="423"/>
        <w:contextualSpacing w:val="0"/>
        <w:jc w:val="both"/>
        <w:rPr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ab/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وعند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قولـه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تعالى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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 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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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51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قال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-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رحمه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الله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-: "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وضع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المظهر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(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المحسنين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)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موضع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المضمر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للدلالة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على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أنهم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بذلك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النصح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منخرطون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سلك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المحسنين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"</w:t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52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53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</w:t>
      </w:r>
      <w:r w:rsidDel="00000000" w:rsidR="00000000" w:rsidRPr="00000000">
        <w:rPr>
          <w:color w:val="000000"/>
          <w:sz w:val="36"/>
          <w:szCs w:val="36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bidi w:val="1"/>
        <w:ind w:left="423" w:right="0" w:hanging="423"/>
        <w:contextualSpacing w:val="0"/>
        <w:jc w:val="both"/>
        <w:rPr>
          <w:b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جـ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-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نقل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الأقوال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والاحتمالات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التي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يذكرها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البيضاوي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ind w:left="423" w:right="0" w:hanging="423"/>
        <w:contextualSpacing w:val="0"/>
        <w:jc w:val="both"/>
        <w:rPr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ab/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ومن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الأمثلة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على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ذلك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أورده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عند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قولـه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تعالى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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... 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54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قال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-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رحمه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الله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عزمتم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عليه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التفرقة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بينه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وبين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أبيه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أو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إن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كنتم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فاعلين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أشرت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به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"</w:t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55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.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وقد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ذكر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الوجهين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البيضاوي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تفسيره</w:t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56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</w:t>
      </w:r>
      <w:r w:rsidDel="00000000" w:rsidR="00000000" w:rsidRPr="00000000">
        <w:rPr>
          <w:color w:val="000000"/>
          <w:sz w:val="36"/>
          <w:szCs w:val="36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D">
      <w:pPr>
        <w:bidi w:val="1"/>
        <w:ind w:left="423" w:right="0" w:hanging="423"/>
        <w:contextualSpacing w:val="0"/>
        <w:jc w:val="both"/>
        <w:rPr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ab/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وعند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قولـه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تعالى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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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57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قال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-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رحمه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الله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-: "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الخطاب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لها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ولتوابعها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أو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لسائر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النساء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تغليبا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ً"</w:t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58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59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</w:t>
      </w:r>
      <w:r w:rsidDel="00000000" w:rsidR="00000000" w:rsidRPr="00000000">
        <w:rPr>
          <w:color w:val="000000"/>
          <w:sz w:val="36"/>
          <w:szCs w:val="36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bidi w:val="1"/>
        <w:ind w:left="423" w:right="0" w:hanging="423"/>
        <w:contextualSpacing w:val="0"/>
        <w:jc w:val="both"/>
        <w:rPr>
          <w:b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د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-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نقل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الأوجه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الإعرابية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6"/>
          <w:szCs w:val="36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ind w:left="423" w:right="0" w:hanging="423"/>
        <w:contextualSpacing w:val="0"/>
        <w:jc w:val="both"/>
        <w:rPr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ab/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ومن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الأمثلة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أورده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عند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قولـه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تعالى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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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60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قال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br w:type="textWrapping"/>
        <w:t xml:space="preserve">-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رحمه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الله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-: "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المعطوف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والمعطوف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عليه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مفعول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قول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مقدر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أو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مفعول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  <w:br w:type="textWrapping"/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لأن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َّ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فيه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معنى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القول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"</w:t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61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</w:t>
      </w:r>
      <w:r w:rsidDel="00000000" w:rsidR="00000000" w:rsidRPr="00000000">
        <w:rPr>
          <w:color w:val="000000"/>
          <w:sz w:val="36"/>
          <w:szCs w:val="36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0">
      <w:pPr>
        <w:bidi w:val="1"/>
        <w:ind w:left="0" w:right="0"/>
        <w:contextualSpacing w:val="0"/>
        <w:jc w:val="both"/>
        <w:rPr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ab/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وعند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قولـه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تعالى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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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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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...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62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قال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-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رحمه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الله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: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أمري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صبر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جميل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أو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صبر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جميل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أجمل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...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إلخ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"</w:t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63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</w:t>
      </w:r>
      <w:r w:rsidDel="00000000" w:rsidR="00000000" w:rsidRPr="00000000">
        <w:rPr>
          <w:color w:val="000000"/>
          <w:sz w:val="36"/>
          <w:szCs w:val="36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1">
      <w:pPr>
        <w:bidi w:val="1"/>
        <w:ind w:left="0" w:right="0" w:firstLine="720"/>
        <w:contextualSpacing w:val="0"/>
        <w:jc w:val="both"/>
        <w:rPr>
          <w:color w:val="000000"/>
          <w:sz w:val="36"/>
          <w:szCs w:val="36"/>
          <w:vertAlign w:val="baseline"/>
        </w:rPr>
      </w:pP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هذه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أبرز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ضروب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استفادة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الكوراني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تفسير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البيضاوي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وهناك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أنواع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أخرى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لكن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أمثلتها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أقل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مثل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ترجيح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الأقوال</w:t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64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أو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تأويل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الصفات</w:t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65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أو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بيان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معاني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المفردات</w:t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66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أو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غير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ذلك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ind w:left="0" w:right="0" w:firstLine="720"/>
        <w:contextualSpacing w:val="0"/>
        <w:jc w:val="both"/>
        <w:rPr>
          <w:color w:val="000000"/>
          <w:sz w:val="36"/>
          <w:szCs w:val="36"/>
          <w:vertAlign w:val="baseline"/>
        </w:rPr>
      </w:pP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وأخيرا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ً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فإن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ما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ينقله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الكوراني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عن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البيضاوي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فإنه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ينقله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بالمعنى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وفي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أحيان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يسيرة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يأتي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vertAlign w:val="baseline"/>
          <w:rtl w:val="1"/>
        </w:rPr>
        <w:t xml:space="preserve">باللفظ</w:t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(</w:t>
      </w:r>
      <w:r w:rsidDel="00000000" w:rsidR="00000000" w:rsidRPr="00000000">
        <w:rPr>
          <w:color w:val="000000"/>
          <w:sz w:val="36"/>
          <w:szCs w:val="36"/>
          <w:vertAlign w:val="superscript"/>
        </w:rPr>
        <w:footnoteReference w:customMarkFollows="0" w:id="67"/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 xml:space="preserve">)</w:t>
      </w:r>
      <w:r w:rsidDel="00000000" w:rsidR="00000000" w:rsidRPr="00000000">
        <w:rPr>
          <w:color w:val="000000"/>
          <w:sz w:val="36"/>
          <w:szCs w:val="36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3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البيضاوي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ينقله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يتردد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البيضاوي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رآه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مجانبا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للصواب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بعبارة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لطيفة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وأسلوب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تجريح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التصريح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البيضاوي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إشارات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الحاشية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وتتبعاته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للبيضاوي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البيضاوي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البيضاوي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الحاشية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القاضي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العبارات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5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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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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تدعيه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إنكارا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وتكذيبا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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الاستفهام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لكونهم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جازمين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كذبا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6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البيضاوي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الحاشية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القاضي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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 ...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vertAlign w:val="baseline"/>
          <w:rtl w:val="1"/>
        </w:rPr>
        <w:t xml:space="preserve">نوع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جهالاتهم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المشركين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يقولون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الاتخاذ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بالولد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حقيقة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بقولـه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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8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البيضاوي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تبناه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تنـزيه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التبني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إلخ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ولذا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الحاشية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قائله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البيضاوي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9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البيضاوي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مواضع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البيضاوي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 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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 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 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color w:val="000000"/>
          <w:sz w:val="30"/>
          <w:szCs w:val="30"/>
          <w:vertAlign w:val="baseline"/>
          <w:rtl w:val="0"/>
        </w:rPr>
        <w:t xml:space="preserve">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والقول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بالإدغام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بالتقاء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الساكنين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سهو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مختلس</w:t>
      </w:r>
      <w:r w:rsidDel="00000000" w:rsidR="00000000" w:rsidRPr="00000000">
        <w:rPr>
          <w:vertAlign w:val="baseline"/>
          <w:rtl w:val="1"/>
        </w:rPr>
        <w:t xml:space="preserve">..."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A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والقائل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بالإدغام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البيضاوي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الحاشية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قائله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القاضي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والصواب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المسألة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البيضاوي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عمرو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ind w:left="0" w:right="0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‌‌3- </w:t>
      </w:r>
      <w:r w:rsidDel="00000000" w:rsidR="00000000" w:rsidRPr="00000000">
        <w:rPr>
          <w:vertAlign w:val="baseline"/>
          <w:rtl w:val="1"/>
        </w:rPr>
        <w:t xml:space="preserve">فتوح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قناع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الريب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للطيبـي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D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أفاد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فتوح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مواضع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متعددة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الإفادات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الكثرة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E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وإفادة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فتوح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أخذت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أشكالا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متعددة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وأوجها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مختلفة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كترجيح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الأقوال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تعليلها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وتوجيهها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النظائر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الإعرابية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اللفتات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البلاغية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المتعلقة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F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"... </w:t>
      </w:r>
      <w:r w:rsidDel="00000000" w:rsidR="00000000" w:rsidRPr="00000000">
        <w:rPr>
          <w:vertAlign w:val="baseline"/>
          <w:rtl w:val="1"/>
        </w:rPr>
        <w:t xml:space="preserve">ومساق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حنين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0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الطيبـي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1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 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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"... </w:t>
      </w:r>
      <w:r w:rsidDel="00000000" w:rsidR="00000000" w:rsidRPr="00000000">
        <w:rPr>
          <w:vertAlign w:val="baseline"/>
          <w:rtl w:val="1"/>
        </w:rPr>
        <w:t xml:space="preserve">عبر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بالمضارع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ماضيا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واقعا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مستمرون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2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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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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 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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اعتراض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التذييل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كقوله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3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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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... </w:t>
        <w:br w:type="textWrapping"/>
      </w:r>
      <w:r w:rsidDel="00000000" w:rsidR="00000000" w:rsidRPr="00000000">
        <w:rPr>
          <w:b w:val="1"/>
          <w:vertAlign w:val="baseline"/>
          <w:rtl w:val="1"/>
        </w:rPr>
        <w:t xml:space="preserve">الآية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منصوب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باذكر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اشتمال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كـان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 </w:t>
      </w:r>
      <w:r w:rsidDel="00000000" w:rsidR="00000000" w:rsidRPr="00000000">
        <w:rPr>
          <w:rFonts w:ascii="HQPB4" w:cs="HQPB4" w:eastAsia="HQPB4" w:hAnsi="HQPB4"/>
          <w:color w:val="000000"/>
          <w:sz w:val="30"/>
          <w:szCs w:val="30"/>
          <w:vertAlign w:val="baseline"/>
          <w:rtl w:val="0"/>
        </w:rPr>
        <w:t xml:space="preserve">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المقصوص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مصدرا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الاقتصاص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يوسف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4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التوجيه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الطيبـي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فتوح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3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9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5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وأخيرا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أشير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الطيبـي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يرتض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التتبعات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القزوينـي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6">
      <w:pPr>
        <w:bidi w:val="1"/>
        <w:ind w:left="0" w:right="0"/>
        <w:contextualSpacing w:val="0"/>
        <w:jc w:val="both"/>
        <w:rPr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4- </w:t>
      </w:r>
      <w:r w:rsidDel="00000000" w:rsidR="00000000" w:rsidRPr="00000000">
        <w:rPr>
          <w:vertAlign w:val="baseline"/>
          <w:rtl w:val="1"/>
        </w:rPr>
        <w:t xml:space="preserve">الكشف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مشكلات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للقزوينـي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8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اهتم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اختيار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الأقوال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والاستدلال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تعليلها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وتوجيهها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أوردها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وتضعيفها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تفصيلها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وشرحها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النكات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البلاغية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الإعرابية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وإليك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49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 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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 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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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A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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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فعلتم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حثا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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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B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الاستدلال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تضعيف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القزويني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C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-: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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D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متعلق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بالتثريب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أثربكم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مظنة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التثريب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الأيام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 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أنكم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عرفتم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ذنبكم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واعترفتم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كنتم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خاطئين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لقولـه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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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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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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ينافيه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قولهم</w:t>
      </w:r>
      <w:r w:rsidDel="00000000" w:rsidR="00000000" w:rsidRPr="00000000">
        <w:rPr>
          <w:vertAlign w:val="baseline"/>
          <w:rtl w:val="1"/>
        </w:rPr>
        <w:t xml:space="preserve">:</w:t>
        <w:br w:type="textWrapping"/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بوقوعه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الصادق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الطلب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استلزم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استغفار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هضما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للنفس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فالفرق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الدعاء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والإخبار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وهم</w:t>
      </w:r>
      <w:r w:rsidDel="00000000" w:rsidR="00000000" w:rsidRPr="00000000">
        <w:rPr>
          <w:vertAlign w:val="baseline"/>
          <w:rtl w:val="1"/>
        </w:rPr>
        <w:t xml:space="preserve">ٌ"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E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فما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فالفرق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الدعاء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والإخبار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وهم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القزويني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F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-: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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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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0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-: "(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baseline"/>
          <w:rtl w:val="1"/>
        </w:rPr>
        <w:t xml:space="preserve">يصير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بصيرا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الإتيان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الصيرورة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بصيرا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معافا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سالما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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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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والأولاد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والموالي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الإتيان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مجازا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الصيرورة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إتيان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المقصود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الأعظم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إتيانه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وثوقا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بحبه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الإخوة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بالإتيان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يشعر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إجبار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فيجل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1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والجواب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السؤال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مذكور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2">
      <w:pPr>
        <w:bidi w:val="1"/>
        <w:ind w:left="0" w:right="0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5- </w:t>
      </w:r>
      <w:r w:rsidDel="00000000" w:rsidR="00000000" w:rsidRPr="00000000">
        <w:rPr>
          <w:vertAlign w:val="baseline"/>
          <w:rtl w:val="1"/>
        </w:rPr>
        <w:t xml:space="preserve">الجامع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للبخاري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54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يعتبر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عو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وأفاد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لأمور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55">
      <w:pPr>
        <w:bidi w:val="1"/>
        <w:ind w:left="423" w:right="0" w:hanging="423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كثرة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لباقي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6">
      <w:pPr>
        <w:bidi w:val="1"/>
        <w:ind w:left="423" w:right="0" w:hanging="423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الغالب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وينسبه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فيقول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وقل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يكتفي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بإيراده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ساكتا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الأئمة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7">
      <w:pPr>
        <w:bidi w:val="1"/>
        <w:ind w:left="-2" w:right="0" w:firstLine="2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استفادة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والعزو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مواضع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فنسب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يخرجها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صحيحه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اللفظ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8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6- </w:t>
      </w:r>
      <w:r w:rsidDel="00000000" w:rsidR="00000000" w:rsidRPr="00000000">
        <w:rPr>
          <w:vertAlign w:val="baseline"/>
          <w:rtl w:val="1"/>
        </w:rPr>
        <w:t xml:space="preserve">النهاية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والأثر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الأثير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A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استفادة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جانبين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5B">
      <w:pPr>
        <w:bidi w:val="1"/>
        <w:ind w:left="423" w:right="0" w:hanging="423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تشترك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المفردات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أستطع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الوقوف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وخصوصا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النهاية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C">
      <w:pPr>
        <w:bidi w:val="1"/>
        <w:ind w:left="423" w:right="0" w:hanging="423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المفردات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الغريبة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D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يؤكد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الاستفادة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الحواشي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إشارات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النهاية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يوسف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</w:t>
        <w:br w:type="textWrapping"/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â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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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b w:val="1"/>
          <w:color w:val="000000"/>
          <w:sz w:val="30"/>
          <w:szCs w:val="30"/>
          <w:vertAlign w:val="baseline"/>
          <w:rtl w:val="0"/>
        </w:rPr>
        <w:t xml:space="preserve">  </w:t>
      </w:r>
      <w:r w:rsidDel="00000000" w:rsidR="00000000" w:rsidRPr="00000000">
        <w:rPr>
          <w:rFonts w:ascii="HQPB2" w:cs="HQPB2" w:eastAsia="HQPB2" w:hAnsi="HQPB2"/>
          <w:b w:val="1"/>
          <w:color w:val="000000"/>
          <w:vertAlign w:val="baseline"/>
          <w:rtl w:val="0"/>
        </w:rPr>
        <w:t xml:space="preserve">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مرضي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الشديد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إلخ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E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الحاشية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فسروا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بأشد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الحزن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الحزن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تكرارا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حشوا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فسره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النهاية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فاستقام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F">
      <w:pPr>
        <w:pStyle w:val="Title"/>
        <w:bidi w:val="1"/>
        <w:ind w:left="0" w:right="0"/>
        <w:contextualSpacing w:val="0"/>
        <w:jc w:val="both"/>
        <w:rPr>
          <w:sz w:val="64"/>
          <w:szCs w:val="6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/>
      <w:pgMar w:bottom="1701" w:top="1985" w:left="1985" w:right="1985" w:header="1134" w:footer="851"/>
      <w:pgNumType w:start="46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HQPB3"/>
  <w:font w:name="HQPB4"/>
  <w:font w:name="HQPB5"/>
  <w:font w:name="AGA Arabesque"/>
  <w:font w:name="HQPB1"/>
  <w:font w:name="HQPB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102"/>
        <w:szCs w:val="102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تنبيه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النقول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سأوردها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تحقيقها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تجنبا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للتكرار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الوقوف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فليراجعها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مواضعها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استفاد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النواحي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البلاغية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متداولة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العبيكان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عبدالموجود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</w:footnote>
  <w:footnote w:id="2"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467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المعتزلة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الاعتزالية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رأسا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528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(20/151)،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للداودي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(2/314).</w:t>
      </w:r>
    </w:p>
  </w:footnote>
  <w:footnote w:id="3"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(73).</w:t>
      </w:r>
    </w:p>
  </w:footnote>
  <w:footnote w:id="4"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(885).</w:t>
      </w:r>
    </w:p>
  </w:footnote>
  <w:footnote w:id="5"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(3/308).</w:t>
      </w:r>
    </w:p>
  </w:footnote>
  <w:footnote w:id="6"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للاستزادة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الأمثلة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(545-546، 788-789).</w:t>
      </w:r>
    </w:p>
  </w:footnote>
  <w:footnote w:id="7"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(49).</w:t>
      </w:r>
    </w:p>
  </w:footnote>
  <w:footnote w:id="8"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(215).</w:t>
      </w:r>
    </w:p>
  </w:footnote>
  <w:footnote w:id="9"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(2/590).</w:t>
      </w:r>
    </w:p>
  </w:footnote>
  <w:footnote w:id="10"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(33).</w:t>
      </w:r>
    </w:p>
  </w:footnote>
  <w:footnote w:id="11"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(71).</w:t>
      </w:r>
    </w:p>
  </w:footnote>
  <w:footnote w:id="12"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(535).</w:t>
      </w:r>
    </w:p>
  </w:footnote>
  <w:footnote w:id="13"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(3/135).</w:t>
      </w:r>
    </w:p>
  </w:footnote>
  <w:footnote w:id="14"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(36).</w:t>
      </w:r>
    </w:p>
  </w:footnote>
  <w:footnote w:id="15"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(539).</w:t>
      </w:r>
    </w:p>
  </w:footnote>
  <w:footnote w:id="16"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(3/136).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وللاستزادة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الأمثلة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(209-210، 219، 545، 605، 809، 836).</w:t>
      </w:r>
    </w:p>
  </w:footnote>
  <w:footnote w:id="17"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(15).</w:t>
      </w:r>
    </w:p>
  </w:footnote>
  <w:footnote w:id="18"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(502)،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(3/121).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وللاستزادة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(187، 242، 834، 841، 848).</w:t>
      </w:r>
    </w:p>
  </w:footnote>
  <w:footnote w:id="19"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(32).</w:t>
      </w:r>
    </w:p>
  </w:footnote>
  <w:footnote w:id="20"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(1056)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(3/382).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وللاستزادة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الأمثلة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(858، 874، 895، 936-938، 957، 1009).</w:t>
      </w:r>
    </w:p>
  </w:footnote>
  <w:footnote w:id="21"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الإسرائيليات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(95).</w:t>
      </w:r>
    </w:p>
  </w:footnote>
  <w:footnote w:id="22"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(836).</w:t>
      </w:r>
    </w:p>
  </w:footnote>
  <w:footnote w:id="23"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(742-743، 1009).</w:t>
      </w:r>
    </w:p>
  </w:footnote>
  <w:footnote w:id="24"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(59).</w:t>
      </w:r>
    </w:p>
  </w:footnote>
  <w:footnote w:id="25"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(228).</w:t>
      </w:r>
    </w:p>
  </w:footnote>
  <w:footnote w:id="26"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(2/593).</w:t>
      </w:r>
    </w:p>
  </w:footnote>
  <w:footnote w:id="27"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(65).</w:t>
      </w:r>
    </w:p>
  </w:footnote>
  <w:footnote w:id="28"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(876-877).</w:t>
      </w:r>
    </w:p>
  </w:footnote>
  <w:footnote w:id="29"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(3/304).</w:t>
      </w:r>
    </w:p>
  </w:footnote>
  <w:footnote w:id="30"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(22).</w:t>
      </w:r>
    </w:p>
  </w:footnote>
  <w:footnote w:id="31"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(1037).</w:t>
      </w:r>
    </w:p>
  </w:footnote>
  <w:footnote w:id="32"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(3/375).</w:t>
      </w:r>
    </w:p>
  </w:footnote>
  <w:footnote w:id="33"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(5).</w:t>
      </w:r>
    </w:p>
  </w:footnote>
  <w:footnote w:id="34"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(125). </w:t>
      </w:r>
    </w:p>
  </w:footnote>
  <w:footnote w:id="35"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(2/554)،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(1/375).</w:t>
      </w:r>
    </w:p>
  </w:footnote>
  <w:footnote w:id="36"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(72).</w:t>
      </w:r>
    </w:p>
  </w:footnote>
  <w:footnote w:id="37"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(377).</w:t>
      </w:r>
    </w:p>
  </w:footnote>
  <w:footnote w:id="38"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(3/67)،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(1/412).</w:t>
      </w:r>
    </w:p>
  </w:footnote>
  <w:footnote w:id="39"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للاستزادة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الأمثلة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(337، 397، 419).</w:t>
      </w:r>
    </w:p>
  </w:footnote>
  <w:footnote w:id="40"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(24).</w:t>
      </w:r>
    </w:p>
  </w:footnote>
  <w:footnote w:id="41"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(160).</w:t>
      </w:r>
    </w:p>
  </w:footnote>
  <w:footnote w:id="42"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(2/569).</w:t>
      </w:r>
    </w:p>
  </w:footnote>
  <w:footnote w:id="43"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(160)،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(411).</w:t>
      </w:r>
    </w:p>
  </w:footnote>
  <w:footnote w:id="44"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اعتمد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أبرزها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للراغب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الأصفهاني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ومتداول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الأسواق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</w:footnote>
  <w:footnote w:id="45"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شيراز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والمنطق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الذكاء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691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للأسنوي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(1/283)،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للداودي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(1/248).</w:t>
      </w:r>
    </w:p>
  </w:footnote>
  <w:footnote w:id="46"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(70).</w:t>
      </w:r>
    </w:p>
  </w:footnote>
  <w:footnote w:id="47"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(373).</w:t>
      </w:r>
    </w:p>
  </w:footnote>
  <w:footnote w:id="48"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(1/412).</w:t>
      </w:r>
    </w:p>
  </w:footnote>
  <w:footnote w:id="49"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(52).</w:t>
      </w:r>
    </w:p>
  </w:footnote>
  <w:footnote w:id="50"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(1091)،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(1/524).</w:t>
      </w:r>
    </w:p>
  </w:footnote>
  <w:footnote w:id="51"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(91).</w:t>
      </w:r>
    </w:p>
  </w:footnote>
  <w:footnote w:id="52"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(406)،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(1/417).</w:t>
      </w:r>
    </w:p>
  </w:footnote>
  <w:footnote w:id="53"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للاستزادة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الأمثلة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(395، 484، 500، 1009).</w:t>
      </w:r>
    </w:p>
  </w:footnote>
  <w:footnote w:id="54"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(10).</w:t>
      </w:r>
    </w:p>
  </w:footnote>
  <w:footnote w:id="55"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(800).</w:t>
      </w:r>
    </w:p>
  </w:footnote>
  <w:footnote w:id="56"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(1/477).</w:t>
      </w:r>
    </w:p>
  </w:footnote>
  <w:footnote w:id="57"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(28).</w:t>
      </w:r>
    </w:p>
  </w:footnote>
  <w:footnote w:id="58"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(831)،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(1/481).</w:t>
      </w:r>
    </w:p>
  </w:footnote>
  <w:footnote w:id="59"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للاستزادة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الأمثلة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(188-189، 783، 789، 1014).</w:t>
      </w:r>
    </w:p>
  </w:footnote>
  <w:footnote w:id="60"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(7).</w:t>
      </w:r>
    </w:p>
  </w:footnote>
  <w:footnote w:id="61"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(1014)،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(/513).</w:t>
      </w:r>
    </w:p>
  </w:footnote>
  <w:footnote w:id="62"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(83).</w:t>
      </w:r>
    </w:p>
  </w:footnote>
  <w:footnote w:id="63"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(898)،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(1/493).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وللاستزادة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(877، 928، 957).</w:t>
      </w:r>
    </w:p>
  </w:footnote>
  <w:footnote w:id="64"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(487).</w:t>
      </w:r>
    </w:p>
  </w:footnote>
  <w:footnote w:id="65"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(180، 418).</w:t>
      </w:r>
    </w:p>
  </w:footnote>
  <w:footnote w:id="66"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(884، 955).</w:t>
      </w:r>
    </w:p>
  </w:footnote>
  <w:footnote w:id="67"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(418، 485، 884).</w:t>
      </w:r>
    </w:p>
  </w:footnote>
  <w:footnote w:id="68"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(52-53).</w:t>
      </w:r>
    </w:p>
  </w:footnote>
  <w:footnote w:id="69"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(53).</w:t>
      </w:r>
    </w:p>
  </w:footnote>
  <w:footnote w:id="70"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(32).</w:t>
      </w:r>
    </w:p>
  </w:footnote>
  <w:footnote w:id="71"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(558).</w:t>
      </w:r>
    </w:p>
  </w:footnote>
  <w:footnote w:id="72"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(1/438).</w:t>
      </w:r>
    </w:p>
  </w:footnote>
  <w:footnote w:id="73"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(68).</w:t>
      </w:r>
    </w:p>
  </w:footnote>
  <w:footnote w:id="74"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(101).</w:t>
      </w:r>
    </w:p>
  </w:footnote>
  <w:footnote w:id="75"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(575).</w:t>
      </w:r>
    </w:p>
  </w:footnote>
  <w:footnote w:id="76"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(1/441).</w:t>
      </w:r>
    </w:p>
  </w:footnote>
  <w:footnote w:id="77"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(35).</w:t>
      </w:r>
    </w:p>
  </w:footnote>
  <w:footnote w:id="78"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(539).</w:t>
      </w:r>
    </w:p>
  </w:footnote>
  <w:footnote w:id="79"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(1/435).</w:t>
      </w:r>
    </w:p>
  </w:footnote>
  <w:footnote w:id="80"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</w:footnote>
  <w:footnote w:id="81"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الطيبـي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متواضعا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يشتغل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النهار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يشتغل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743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ينتظر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الإقامة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النافلة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(1/522)،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(6/137).</w:t>
      </w:r>
    </w:p>
  </w:footnote>
  <w:footnote w:id="82"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(17).</w:t>
      </w:r>
    </w:p>
  </w:footnote>
  <w:footnote w:id="83"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(151).</w:t>
      </w:r>
    </w:p>
  </w:footnote>
  <w:footnote w:id="84"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(949).</w:t>
      </w:r>
    </w:p>
  </w:footnote>
  <w:footnote w:id="85"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(20).</w:t>
      </w:r>
    </w:p>
  </w:footnote>
  <w:footnote w:id="86"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(511)،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(45).</w:t>
      </w:r>
    </w:p>
  </w:footnote>
  <w:footnote w:id="87"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(75).</w:t>
      </w:r>
    </w:p>
  </w:footnote>
  <w:footnote w:id="88"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(92).</w:t>
      </w:r>
    </w:p>
  </w:footnote>
  <w:footnote w:id="89"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(585)،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(124).</w:t>
      </w:r>
    </w:p>
  </w:footnote>
  <w:footnote w:id="90"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(4).</w:t>
      </w:r>
    </w:p>
  </w:footnote>
  <w:footnote w:id="91"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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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(3).</w:t>
      </w:r>
    </w:p>
  </w:footnote>
  <w:footnote w:id="92"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(785).</w:t>
      </w:r>
    </w:p>
  </w:footnote>
  <w:footnote w:id="93"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(343).</w:t>
      </w:r>
    </w:p>
  </w:footnote>
  <w:footnote w:id="94"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للاستزادة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الأمثلة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(479، 499، 568، 974).</w:t>
      </w:r>
    </w:p>
  </w:footnote>
  <w:footnote w:id="95"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(1010، 1088).</w:t>
      </w:r>
    </w:p>
  </w:footnote>
  <w:footnote w:id="96"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يزال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مخطوطا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tl w:val="0"/>
        </w:rPr>
      </w:r>
    </w:p>
  </w:footnote>
  <w:footnote w:id="97"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سراج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عمره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مشمرا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والتحصيل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شابا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وثلاثين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745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(6/143)،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للداودي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(2/7).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</w:footnote>
  <w:footnote w:id="98"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(1027).</w:t>
      </w:r>
    </w:p>
  </w:footnote>
  <w:footnote w:id="99"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(1061).</w:t>
      </w:r>
    </w:p>
  </w:footnote>
  <w:footnote w:id="100"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(983، 1011-1012).</w:t>
      </w:r>
    </w:p>
  </w:footnote>
  <w:footnote w:id="101"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(517، 784، 1016).</w:t>
      </w:r>
    </w:p>
  </w:footnote>
  <w:footnote w:id="102"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(556-557).</w:t>
      </w:r>
    </w:p>
  </w:footnote>
  <w:footnote w:id="103"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(954، 986).</w:t>
      </w:r>
    </w:p>
  </w:footnote>
  <w:footnote w:id="104"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(940، 1063).</w:t>
      </w:r>
    </w:p>
  </w:footnote>
  <w:footnote w:id="105"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(89).</w:t>
      </w:r>
    </w:p>
  </w:footnote>
  <w:footnote w:id="106"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(14).</w:t>
      </w:r>
    </w:p>
  </w:footnote>
  <w:footnote w:id="107"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(908-909).</w:t>
      </w:r>
    </w:p>
  </w:footnote>
  <w:footnote w:id="108"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(50/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</w:footnote>
  <w:footnote w:id="109"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(92).</w:t>
      </w:r>
    </w:p>
  </w:footnote>
  <w:footnote w:id="110"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(82).</w:t>
      </w:r>
    </w:p>
  </w:footnote>
  <w:footnote w:id="111"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(97).</w:t>
      </w:r>
    </w:p>
  </w:footnote>
  <w:footnote w:id="112"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(912).</w:t>
      </w:r>
    </w:p>
  </w:footnote>
  <w:footnote w:id="113"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(51/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</w:footnote>
  <w:footnote w:id="114"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(93).</w:t>
      </w:r>
    </w:p>
  </w:footnote>
  <w:footnote w:id="115"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(914، 915).</w:t>
      </w:r>
    </w:p>
  </w:footnote>
  <w:footnote w:id="116"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(51/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</w:footnote>
  <w:footnote w:id="117"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(160، 197، 209، 305، 419، 421، 447، 786).</w:t>
      </w:r>
    </w:p>
  </w:footnote>
  <w:footnote w:id="118"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(116، 146، 220، 231، 247، 254، 291، 298).</w:t>
      </w:r>
    </w:p>
  </w:footnote>
  <w:footnote w:id="119"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(180، 231، 434، 461).</w:t>
      </w:r>
    </w:p>
  </w:footnote>
  <w:footnote w:id="120"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(472، 770).</w:t>
      </w:r>
    </w:p>
  </w:footnote>
  <w:footnote w:id="121"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بالتصنيف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اختصاره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التذييل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ومتداول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الأسواق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</w:footnote>
  <w:footnote w:id="122"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أبوالسعادات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الجزري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544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فاضلا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مؤلفاته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أحاديث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(3/289)،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(5/22).</w:t>
      </w:r>
    </w:p>
  </w:footnote>
  <w:footnote w:id="123"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(79).</w:t>
      </w:r>
    </w:p>
  </w:footnote>
  <w:footnote w:id="124"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(101).</w:t>
      </w:r>
    </w:p>
  </w:footnote>
  <w:footnote w:id="125"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(86).</w:t>
      </w:r>
    </w:p>
  </w:footnote>
  <w:footnote w:id="126"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(903).</w:t>
      </w:r>
    </w:p>
  </w:footnote>
  <w:footnote w:id="127"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(1045).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الدراسة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tl w:val="0"/>
      </w:rPr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مصادره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bidi w:val="1"/>
      <w:ind w:left="0" w:right="0"/>
      <w:jc w:val="center"/>
    </w:pPr>
    <w:rPr>
      <w:sz w:val="52"/>
      <w:szCs w:val="5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bidi w:val="1"/>
      <w:ind w:left="0" w:right="0"/>
      <w:jc w:val="center"/>
    </w:pPr>
    <w:rPr>
      <w:sz w:val="54"/>
      <w:szCs w:val="54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