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ind w:left="0" w:right="0"/>
        <w:contextualSpacing w:val="0"/>
        <w:jc w:val="center"/>
        <w:rPr>
          <w:sz w:val="64"/>
          <w:szCs w:val="6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bidi w:val="1"/>
        <w:ind w:left="0" w:right="0"/>
        <w:contextualSpacing w:val="0"/>
        <w:jc w:val="center"/>
        <w:rPr>
          <w:sz w:val="64"/>
          <w:szCs w:val="64"/>
          <w:vertAlign w:val="baseline"/>
        </w:rPr>
      </w:pPr>
      <w:r w:rsidDel="00000000" w:rsidR="00000000" w:rsidRPr="00000000">
        <w:rPr>
          <w:sz w:val="64"/>
          <w:szCs w:val="64"/>
          <w:vertAlign w:val="baseline"/>
          <w:rtl w:val="1"/>
        </w:rPr>
        <w:t xml:space="preserve">الفصل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 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0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bidi w:val="1"/>
        <w:spacing w:line="240" w:lineRule="auto"/>
        <w:ind w:left="0" w:right="0"/>
        <w:contextualSpacing w:val="0"/>
        <w:jc w:val="center"/>
        <w:rPr>
          <w:sz w:val="64"/>
          <w:szCs w:val="64"/>
          <w:vertAlign w:val="baseline"/>
        </w:rPr>
      </w:pPr>
      <w:r w:rsidDel="00000000" w:rsidR="00000000" w:rsidRPr="00000000">
        <w:rPr>
          <w:sz w:val="64"/>
          <w:szCs w:val="64"/>
          <w:vertAlign w:val="baseline"/>
          <w:rtl w:val="1"/>
        </w:rPr>
        <w:t xml:space="preserve">منهج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 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المؤلف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 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في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 </w:t>
      </w:r>
      <w:r w:rsidDel="00000000" w:rsidR="00000000" w:rsidRPr="00000000">
        <w:rPr>
          <w:sz w:val="64"/>
          <w:szCs w:val="64"/>
          <w:vertAlign w:val="baseline"/>
          <w:rtl w:val="1"/>
        </w:rPr>
        <w:t xml:space="preserve">تفسيره</w:t>
      </w:r>
      <w:r w:rsidDel="00000000" w:rsidR="00000000" w:rsidRPr="00000000">
        <w:rPr>
          <w:sz w:val="64"/>
          <w:szCs w:val="64"/>
          <w:vertAlign w:val="superscript"/>
          <w:rtl w:val="0"/>
        </w:rPr>
        <w:t xml:space="preserve">(</w:t>
      </w:r>
      <w:r w:rsidDel="00000000" w:rsidR="00000000" w:rsidRPr="00000000">
        <w:rPr>
          <w:sz w:val="64"/>
          <w:szCs w:val="64"/>
          <w:vertAlign w:val="superscript"/>
        </w:rPr>
        <w:footnoteReference w:customMarkFollows="0" w:id="0"/>
      </w:r>
      <w:r w:rsidDel="00000000" w:rsidR="00000000" w:rsidRPr="00000000">
        <w:rPr>
          <w:sz w:val="64"/>
          <w:szCs w:val="64"/>
          <w:vertAlign w:val="superscript"/>
          <w:rtl w:val="0"/>
        </w:rPr>
        <w:t xml:space="preserve">)</w:t>
      </w:r>
      <w:r w:rsidDel="00000000" w:rsidR="00000000" w:rsidRPr="00000000">
        <w:rPr>
          <w:sz w:val="64"/>
          <w:szCs w:val="6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both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المبحث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الأول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: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التفسير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بالمنقول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1-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تفسير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القرآن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بالقرآن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2-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تفسير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القرآن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بالسنة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3-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تفسير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القرآن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بأقوال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الصحابة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-</w:t>
      </w:r>
      <w:r w:rsidDel="00000000" w:rsidR="00000000" w:rsidRPr="00000000">
        <w:rPr>
          <w:sz w:val="44"/>
          <w:szCs w:val="44"/>
          <w:vertAlign w:val="baseline"/>
          <w:rtl w:val="0"/>
        </w:rPr>
        <w:t xml:space="preserve">-.</w:t>
      </w:r>
    </w:p>
    <w:p w:rsidR="00000000" w:rsidDel="00000000" w:rsidP="00000000" w:rsidRDefault="00000000" w:rsidRPr="00000000" w14:paraId="00000009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4-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تفسير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القرآن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بأقوال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التابعين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-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رحمهم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الله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0A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5-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القراءات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6-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أسباب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النـزول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7-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الإسرائيليات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1-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مراتبه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تيمية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المنهج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واعتمده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استخدامه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bidi w:val="1"/>
        <w:ind w:left="565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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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"... </w:t>
      </w:r>
      <w:r w:rsidDel="00000000" w:rsidR="00000000" w:rsidRPr="00000000">
        <w:rPr>
          <w:vertAlign w:val="baseline"/>
          <w:rtl w:val="1"/>
        </w:rPr>
        <w:t xml:space="preserve">إخبار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اختاروا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الانصراف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جازاهـم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بصـرف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...</w:t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أتسمونهم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565" w:right="0" w:hanging="565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5">
      <w:pPr>
        <w:bidi w:val="1"/>
        <w:ind w:left="565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استخدم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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عبادتي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56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142.0000000000000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استعان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ind w:left="848" w:right="0" w:hanging="425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ترجيح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الأقوال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848" w:right="0" w:hanging="127.99999999999997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...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الآيـة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848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848" w:right="0" w:hanging="425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848" w:right="0" w:hanging="425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رد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الأقوال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848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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وحقوق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المسامحة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الشرك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الاستئصال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848" w:right="0" w:hanging="42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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فعلتم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حثا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التام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4-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أفردته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اختياره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تنتظم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مقويا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وجهه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راد</w:t>
      </w:r>
      <w:r w:rsidDel="00000000" w:rsidR="00000000" w:rsidRPr="00000000">
        <w:rPr>
          <w:vertAlign w:val="baseline"/>
          <w:rtl w:val="1"/>
        </w:rPr>
        <w:t xml:space="preserve">ًّ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...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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تتلو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بتائين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بتائين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التبعية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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...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vertAlign w:val="baseline"/>
          <w:rtl w:val="1"/>
        </w:rPr>
        <w:t xml:space="preserve">... </w:t>
      </w:r>
      <w:r w:rsidDel="00000000" w:rsidR="00000000" w:rsidRPr="00000000">
        <w:rPr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"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إقامة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بالغلبة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استشهد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بنظائرها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تأكيد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أعيد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لبعد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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...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والاستفهام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الختام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42"/>
          <w:szCs w:val="42"/>
          <w:vertAlign w:val="baseline"/>
          <w:rtl w:val="0"/>
        </w:rPr>
        <w:t xml:space="preserve">2-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ُ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القرآن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ِ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بالس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ُ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َّ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وظائف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شارحة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ومبينة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ومفصلة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المرء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بالتفسير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وعلومها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فأقول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4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واضحة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bidi w:val="1"/>
        <w:ind w:left="284" w:right="0" w:hanging="284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والصحيح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284" w:right="0" w:hanging="284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درجتها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عافاه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left="284" w:right="0" w:hanging="284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بتمامه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الأكثر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-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أغفله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...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دعائه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للتوطئة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فأبطأ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أوجب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إبطاءك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ألم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تسمع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قولـه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تعالى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؟"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...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الشهادة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نعوذ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الأخدود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بمناشير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وسألوهم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تموتون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تعيشون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سئل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دينه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نبيه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وأجاب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نادى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مناد</w:t>
      </w:r>
      <w:r w:rsidDel="00000000" w:rsidR="00000000" w:rsidRPr="00000000">
        <w:rPr>
          <w:b w:val="1"/>
          <w:vertAlign w:val="baseline"/>
          <w:rtl w:val="1"/>
        </w:rPr>
        <w:t xml:space="preserve">ٍ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السماء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صدق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فذلك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قولـه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0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...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0"/>
        </w:rPr>
        <w:t xml:space="preserve">«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bidi w:val="1"/>
        <w:ind w:left="0" w:right="0"/>
        <w:contextualSpacing w:val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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لضمة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b w:val="1"/>
          <w:vertAlign w:val="baseline"/>
          <w:rtl w:val="1"/>
        </w:rPr>
        <w:t xml:space="preserve">بلى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وطوبى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طوبى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آمن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يرني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طوبى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b w:val="1"/>
          <w:vertAlign w:val="baseline"/>
          <w:rtl w:val="1"/>
        </w:rPr>
        <w:t xml:space="preserve">شجرة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0"/>
        </w:rPr>
        <w:t xml:space="preserve">«"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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عبادتي</w:t>
      </w:r>
      <w:r w:rsidDel="00000000" w:rsidR="00000000" w:rsidRPr="00000000">
        <w:rPr>
          <w:vertAlign w:val="baseline"/>
          <w:rtl w:val="1"/>
        </w:rPr>
        <w:t xml:space="preserve">..،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: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دعائي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ودعاء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الأنبياء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بعرفات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سأخبركم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دعوة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إبراهيم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وبشارة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عيسى</w:t>
      </w:r>
      <w:r w:rsidDel="00000000" w:rsidR="00000000" w:rsidRPr="00000000">
        <w:rPr>
          <w:vertAlign w:val="baseline"/>
          <w:rtl w:val="0"/>
        </w:rPr>
        <w:t xml:space="preserve">«"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بنظائرها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 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...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الدأ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وتمرن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شكى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إلي</w:t>
      </w:r>
      <w:r w:rsidDel="00000000" w:rsidR="00000000" w:rsidRPr="00000000">
        <w:rPr>
          <w:b w:val="1"/>
          <w:vertAlign w:val="baseline"/>
          <w:rtl w:val="1"/>
        </w:rPr>
        <w:t xml:space="preserve">َّ </w:t>
      </w:r>
      <w:r w:rsidDel="00000000" w:rsidR="00000000" w:rsidRPr="00000000">
        <w:rPr>
          <w:b w:val="1"/>
          <w:vertAlign w:val="baseline"/>
          <w:rtl w:val="1"/>
        </w:rPr>
        <w:t xml:space="preserve">أنك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دئبه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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ركوعه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: "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ركع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يرفعه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 </w:t>
      </w:r>
      <w:r w:rsidDel="00000000" w:rsidR="00000000" w:rsidRPr="00000000">
        <w:rPr>
          <w:vertAlign w:val="baseline"/>
          <w:rtl w:val="1"/>
        </w:rPr>
        <w:t xml:space="preserve">الاستطراد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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الأرحام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الحقوق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للأخوة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الثابتة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أحدكم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حتى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يحب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لأخيه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يحب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لنفسه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: » 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الصدقة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تلقى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أخاك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بوجه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طلق</w:t>
      </w:r>
      <w:r w:rsidDel="00000000" w:rsidR="00000000" w:rsidRPr="00000000">
        <w:rPr>
          <w:vertAlign w:val="baseline"/>
          <w:rtl w:val="0"/>
        </w:rPr>
        <w:t xml:space="preserve"> «"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والحفظ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 »</w:t>
      </w:r>
      <w:r w:rsidDel="00000000" w:rsidR="00000000" w:rsidRPr="00000000">
        <w:rPr>
          <w:b w:val="1"/>
          <w:vertAlign w:val="baseline"/>
          <w:rtl w:val="1"/>
        </w:rPr>
        <w:t xml:space="preserve">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القرآن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أحصيت</w:t>
      </w:r>
      <w:r w:rsidDel="00000000" w:rsidR="00000000" w:rsidRPr="00000000">
        <w:rPr>
          <w:b w:val="1"/>
          <w:vertAlign w:val="baseline"/>
          <w:rtl w:val="1"/>
        </w:rPr>
        <w:t xml:space="preserve">؟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حفظت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أحصي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ثناء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عليك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أثنيت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نفسك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«"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42"/>
          <w:szCs w:val="42"/>
          <w:vertAlign w:val="baseline"/>
          <w:rtl w:val="0"/>
        </w:rPr>
        <w:t xml:space="preserve">3-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القرآن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بأقوال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الصحابة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--:</w:t>
      </w:r>
    </w:p>
    <w:p w:rsidR="00000000" w:rsidDel="00000000" w:rsidP="00000000" w:rsidRDefault="00000000" w:rsidRPr="00000000" w14:paraId="0000005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--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ثنايا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النـزول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للآية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--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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للمنافقين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Fonts w:ascii="Marigold" w:cs="Marigold" w:eastAsia="Marigold" w:hAnsi="Marigold"/>
          <w:sz w:val="42"/>
          <w:szCs w:val="42"/>
          <w:vertAlign w:val="baseline"/>
          <w:rtl w:val="0"/>
        </w:rPr>
        <w:t xml:space="preserve">4-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القرآن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بأقوال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التابعين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رحمهم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الله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-:</w:t>
      </w:r>
    </w:p>
    <w:p w:rsidR="00000000" w:rsidDel="00000000" w:rsidP="00000000" w:rsidRDefault="00000000" w:rsidRPr="00000000" w14:paraId="0000005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5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صافح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الوضوء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جبير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5-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القراءات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اعتنى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التالية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اعتنى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مقتصرا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لاستيفاء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المتنافرة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فيسميهم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يسمي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الباقون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الكوفيون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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"...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الرتع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ومزاحم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نرتع</w:t>
      </w:r>
      <w:r w:rsidDel="00000000" w:rsidR="00000000" w:rsidRPr="00000000">
        <w:rPr>
          <w:vertAlign w:val="baseline"/>
          <w:rtl w:val="1"/>
        </w:rPr>
        <w:t xml:space="preserve">).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إسناده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الإخوة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وكسر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ارتعى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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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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  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لتأييد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وتصحيحها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التائبين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استطرادا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متابعة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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نلقيك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سرورهم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نلقيك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6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يعرضها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والأفصح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يعلل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بموافقة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بالسياق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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صابرة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بالتذكير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بالتأنيث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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ولأن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ضلالهم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إضلالهم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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بالتشديد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ويثبت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وللوفاق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وأخيرا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نكيره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الثابتة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....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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فلضعف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بصيرته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تواتر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القبول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6-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أسب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َ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اب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ُ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النــزول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النـزول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مكثرا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النـزول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مقبولة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النـزول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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"...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هؤلاء</w:t>
      </w:r>
      <w:r w:rsidDel="00000000" w:rsidR="00000000" w:rsidRPr="00000000">
        <w:rPr>
          <w:b w:val="1"/>
          <w:vertAlign w:val="baseline"/>
          <w:rtl w:val="1"/>
        </w:rPr>
        <w:t xml:space="preserve">؟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وعشيرتك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يرزق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والأنصار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الخطاب</w:t>
      </w:r>
      <w:r w:rsidDel="00000000" w:rsidR="00000000" w:rsidRPr="00000000">
        <w:rPr>
          <w:b w:val="1"/>
          <w:vertAlign w:val="baseline"/>
          <w:rtl w:val="1"/>
        </w:rPr>
        <w:t xml:space="preserve">؟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وصناديدهم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ليضرب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نسيب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فداهم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فاختار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الفداء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فنـزلت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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مرفوعا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الوفاة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وعنده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وعبدالله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كلمة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أحاج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وعبدالله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أترغب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عبدالمطلب</w:t>
      </w:r>
      <w:r w:rsidDel="00000000" w:rsidR="00000000" w:rsidRPr="00000000">
        <w:rPr>
          <w:vertAlign w:val="baseline"/>
          <w:rtl w:val="1"/>
        </w:rPr>
        <w:t xml:space="preserve">"؟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عبدالمطلب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أشياخه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لأستغفرن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عنك</w:t>
      </w:r>
      <w:r w:rsidDel="00000000" w:rsidR="00000000" w:rsidRPr="00000000">
        <w:rPr>
          <w:b w:val="1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«. </w:t>
      </w:r>
      <w:r w:rsidDel="00000000" w:rsidR="00000000" w:rsidRPr="00000000">
        <w:rPr>
          <w:vertAlign w:val="baseline"/>
          <w:rtl w:val="1"/>
        </w:rPr>
        <w:t xml:space="preserve">فنـزلت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» </w:t>
      </w:r>
      <w:r w:rsidDel="00000000" w:rsidR="00000000" w:rsidRPr="00000000">
        <w:rPr>
          <w:b w:val="1"/>
          <w:vertAlign w:val="baseline"/>
          <w:rtl w:val="1"/>
        </w:rPr>
        <w:t xml:space="preserve">استأذنت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زيارتها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فأذن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واستأذنته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الاستغفار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يأذن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النـزول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ثعلبة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حاطب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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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7-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الإس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ْ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َ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ائيلي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َ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ْ:</w:t>
      </w:r>
    </w:p>
    <w:p w:rsidR="00000000" w:rsidDel="00000000" w:rsidP="00000000" w:rsidRDefault="00000000" w:rsidRPr="00000000" w14:paraId="0000007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ضم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تمحيص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لحالها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بتصديرها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نوح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0"/>
        </w:rPr>
        <w:t xml:space="preserve">-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ثنايا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--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دسائس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وتحريفهم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الذبيح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--، </w:t>
      </w:r>
      <w:r w:rsidDel="00000000" w:rsidR="00000000" w:rsidRPr="00000000">
        <w:rPr>
          <w:vertAlign w:val="baseline"/>
          <w:rtl w:val="1"/>
        </w:rPr>
        <w:t xml:space="preserve">ولهذا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بخصوصها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المخطوط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سابقة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الذبيح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pStyle w:val="Title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Title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78">
      <w:pPr>
        <w:bidi w:val="1"/>
        <w:ind w:left="0" w:right="0"/>
        <w:contextualSpacing w:val="0"/>
        <w:jc w:val="center"/>
        <w:rPr>
          <w:sz w:val="54"/>
          <w:szCs w:val="5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ind w:left="0" w:right="0"/>
        <w:contextualSpacing w:val="0"/>
        <w:jc w:val="center"/>
        <w:rPr>
          <w:sz w:val="54"/>
          <w:szCs w:val="54"/>
          <w:vertAlign w:val="baseline"/>
        </w:rPr>
      </w:pPr>
      <w:r w:rsidDel="00000000" w:rsidR="00000000" w:rsidRPr="00000000">
        <w:rPr>
          <w:sz w:val="54"/>
          <w:szCs w:val="54"/>
          <w:vertAlign w:val="baseline"/>
          <w:rtl w:val="1"/>
        </w:rPr>
        <w:t xml:space="preserve">التفسـيـر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 </w:t>
      </w:r>
      <w:r w:rsidDel="00000000" w:rsidR="00000000" w:rsidRPr="00000000">
        <w:rPr>
          <w:sz w:val="54"/>
          <w:szCs w:val="54"/>
          <w:vertAlign w:val="baseline"/>
          <w:rtl w:val="1"/>
        </w:rPr>
        <w:t xml:space="preserve">بالـرأي</w:t>
      </w:r>
    </w:p>
    <w:p w:rsidR="00000000" w:rsidDel="00000000" w:rsidP="00000000" w:rsidRDefault="00000000" w:rsidRPr="00000000" w14:paraId="0000007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E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ab/>
      </w: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بيان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المفردات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والغريب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اللغة</w:t>
      </w:r>
      <w:r w:rsidDel="00000000" w:rsidR="00000000" w:rsidRPr="00000000">
        <w:rPr>
          <w:b w:val="1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ab/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الاستشهاد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بالأبيات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الشعرية</w:t>
      </w:r>
      <w:r w:rsidDel="00000000" w:rsidR="00000000" w:rsidRPr="00000000">
        <w:rPr>
          <w:b w:val="1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ind w:left="0" w:right="0" w:firstLine="72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جـ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مسائل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النحو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والإعراب</w:t>
      </w:r>
      <w:r w:rsidDel="00000000" w:rsidR="00000000" w:rsidRPr="00000000">
        <w:rPr>
          <w:b w:val="1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 </w:t>
      </w:r>
      <w:r w:rsidDel="00000000" w:rsidR="00000000" w:rsidRPr="00000000">
        <w:rPr>
          <w:vertAlign w:val="baseline"/>
          <w:rtl w:val="1"/>
        </w:rPr>
        <w:t xml:space="preserve">المناسبات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42"/>
          <w:szCs w:val="42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آيات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العقيدة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الاعتقاد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ذكرنا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.....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محبوبه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6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 ....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والملكوت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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9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ردوده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والتقريرات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الفلسفية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الصوفية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b w:val="1"/>
          <w:sz w:val="42"/>
          <w:szCs w:val="42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آيات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الأحكام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لتفاصيل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حنفيا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وأجلى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8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وتشعيب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الأغلب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ونورد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النماذج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ذكرنا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0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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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أخماس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للتوطئة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الأخصين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المذاهب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حصره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اليتامى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وذوي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اتصفوا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الأخماس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؛ </w:t>
      </w:r>
      <w:r w:rsidDel="00000000" w:rsidR="00000000" w:rsidRPr="00000000">
        <w:rPr>
          <w:vertAlign w:val="baseline"/>
          <w:rtl w:val="1"/>
        </w:rPr>
        <w:t xml:space="preserve">فسهمه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للجهاد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الأنثيين</w:t>
      </w:r>
      <w:r w:rsidDel="00000000" w:rsidR="00000000" w:rsidRPr="00000000">
        <w:rPr>
          <w:vertAlign w:val="baseline"/>
          <w:rtl w:val="1"/>
        </w:rPr>
        <w:t xml:space="preserve">..."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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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التوارث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توريث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الأرحام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5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3 -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اللغــة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اعتنى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توضيح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للآيات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تقصير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تلخيص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التالي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9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أصولها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ومعانيها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واستعمالاتها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واشتقاقها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إطالة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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القافلة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تجيء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وتذهب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قافلة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قافلة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B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معانيها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ومستشهدا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بنظائرها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.....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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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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البراق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انطلق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يهوي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يسرع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الهبوط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الصعود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بالعكس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مفرداتها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مستدلا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بالشعر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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يلبث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زرعها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بالمقام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الأعشى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الثواء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ّ"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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vertAlign w:val="baseline"/>
          <w:rtl w:val="1"/>
        </w:rPr>
        <w:t xml:space="preserve">اشتد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أشفاه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الهلاك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الحب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أفسده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العرجي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امرؤ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فأ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ab/>
        <w:tab/>
        <w:t xml:space="preserve">.............................</w:t>
      </w:r>
    </w:p>
    <w:p w:rsidR="00000000" w:rsidDel="00000000" w:rsidP="00000000" w:rsidRDefault="00000000" w:rsidRPr="00000000" w14:paraId="000000A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» </w:t>
      </w:r>
      <w:r w:rsidDel="00000000" w:rsidR="00000000" w:rsidRPr="00000000">
        <w:rPr>
          <w:b w:val="1"/>
          <w:vertAlign w:val="baseline"/>
          <w:rtl w:val="1"/>
        </w:rPr>
        <w:t xml:space="preserve">يمرض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حتى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يحرضه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0"/>
        </w:rPr>
        <w:t xml:space="preserve"> «"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bidi w:val="1"/>
        <w:ind w:left="0" w:right="0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الشعرية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لمقاصد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7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واشتقاقها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للتنظير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وورودها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ونحوه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9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فقلت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يمين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أبرح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قاعدا</w:t>
      </w:r>
      <w:r w:rsidDel="00000000" w:rsidR="00000000" w:rsidRPr="00000000">
        <w:rPr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لديك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وأوصالي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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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صبرتم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واحتملتم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والفصل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مغتفر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B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عار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عظيم</w:t>
      </w:r>
      <w:r w:rsidDel="00000000" w:rsidR="00000000" w:rsidRPr="00000000">
        <w:rPr>
          <w:vertAlign w:val="baseline"/>
          <w:rtl w:val="1"/>
        </w:rPr>
        <w:t xml:space="preserve">ُ"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C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الاستطراد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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للضيف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الضيفان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الشاعر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D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وناولت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جلدة</w:t>
      </w:r>
      <w:r w:rsidDel="00000000" w:rsidR="00000000" w:rsidRPr="00000000">
        <w:rPr>
          <w:vertAlign w:val="baseline"/>
          <w:rtl w:val="1"/>
        </w:rPr>
        <w:t xml:space="preserve">ٍ </w:t>
        <w:tab/>
      </w:r>
      <w:r w:rsidDel="00000000" w:rsidR="00000000" w:rsidRPr="00000000">
        <w:rPr>
          <w:vertAlign w:val="baseline"/>
          <w:rtl w:val="1"/>
        </w:rPr>
        <w:t xml:space="preserve">وأغضيت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تضلعا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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والحفظ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أحصي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ثناء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عيك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أثنيت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نفسك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«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شعر</w:t>
      </w:r>
      <w:r w:rsidDel="00000000" w:rsidR="00000000" w:rsidRPr="00000000">
        <w:rPr>
          <w:vertAlign w:val="baseline"/>
          <w:rtl w:val="1"/>
        </w:rPr>
        <w:t xml:space="preserve">]:</w:t>
      </w:r>
    </w:p>
    <w:p w:rsidR="00000000" w:rsidDel="00000000" w:rsidP="00000000" w:rsidRDefault="00000000" w:rsidRPr="00000000" w14:paraId="000000B0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ً </w:t>
        <w:tab/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ِ"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bidi w:val="1"/>
        <w:ind w:left="0" w:right="0"/>
        <w:contextualSpacing w:val="0"/>
        <w:jc w:val="both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والإعراب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الأعاريب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يذكروها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وترجيحه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واعتراضه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4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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ذنبا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والمداهنة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وسلوك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وافتراق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اتقوا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تصيبن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تعمكم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فأقيم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لتسببه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للتبعيض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المؤكدة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الصالحون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»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نعم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كثر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الخبث</w:t>
      </w:r>
      <w:r w:rsidDel="00000000" w:rsidR="00000000" w:rsidRPr="00000000">
        <w:rPr>
          <w:vertAlign w:val="baseline"/>
          <w:rtl w:val="0"/>
        </w:rPr>
        <w:t xml:space="preserve"> «".</w:t>
      </w:r>
    </w:p>
    <w:p w:rsidR="00000000" w:rsidDel="00000000" w:rsidP="00000000" w:rsidRDefault="00000000" w:rsidRPr="00000000" w14:paraId="000000B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نهيا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مستقلا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نهيا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الوجهين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بيانية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ووبالها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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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أفئدتهم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اطمئنان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8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4-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البلاغــة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وإبراز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A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توضيح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وتحديد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المصطلحات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إبراز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الترتيب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والتأخير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bidi w:val="1"/>
        <w:ind w:left="281" w:right="0" w:hanging="28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واختيار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وإيثار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والنكات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ولعلنا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E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 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أرابه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أوقعه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الريبة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واضطرابها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المجازي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المكانة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كالمقامة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تمثيل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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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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كالمقطوع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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مترتبا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تقديمه</w:t>
      </w:r>
      <w:r w:rsidDel="00000000" w:rsidR="00000000" w:rsidRPr="00000000">
        <w:rPr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بتعجيل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النفسانية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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قـال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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</w:t>
        <w:br w:type="textWrapping"/>
        <w:t xml:space="preserve">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آثره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...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الاستئناف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بمثابة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التجزئ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وقبولا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مقبولة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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9º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s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P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q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t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q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J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g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C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m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9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¨$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Y9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#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للحساب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والعقاب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آثر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7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5-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المناسبات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بين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الآيات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C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واجتهد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مكثرا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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أردف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إجابتهم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اقترحوه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المسترشد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للحق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فاتحة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وخاتمتها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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يشهدون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المنعوت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المحفوظ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الألوهية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المنـزل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فيوافق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فاتحة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sectPr>
      <w:headerReference r:id="rId7" w:type="default"/>
      <w:footerReference r:id="rId8" w:type="default"/>
      <w:footerReference r:id="rId9" w:type="even"/>
      <w:pgSz w:h="16838" w:w="11906"/>
      <w:pgMar w:bottom="1701" w:top="1985" w:left="1985" w:right="1985" w:header="1134" w:footer="851"/>
      <w:pgNumType w:start="7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  <w:font w:name="Marig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0"/>
        <w:szCs w:val="100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تجنبا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(13/363).</w:t>
      </w:r>
    </w:p>
  </w:footnote>
  <w:footnote w:id="2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(103/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(127).</w:t>
      </w:r>
    </w:p>
  </w:footnote>
  <w:footnote w:id="4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(5).</w:t>
      </w:r>
    </w:p>
  </w:footnote>
  <w:footnote w:id="5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(471).</w:t>
      </w:r>
    </w:p>
  </w:footnote>
  <w:footnote w:id="6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(33).</w:t>
      </w:r>
    </w:p>
  </w:footnote>
  <w:footnote w:id="7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(30).</w:t>
      </w:r>
    </w:p>
  </w:footnote>
  <w:footnote w:id="8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(994).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(319، 467، 470).</w:t>
      </w:r>
    </w:p>
  </w:footnote>
  <w:footnote w:id="9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(40).</w:t>
      </w:r>
    </w:p>
  </w:footnote>
  <w:footnote w:id="10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(48).</w:t>
      </w:r>
    </w:p>
  </w:footnote>
  <w:footnote w:id="11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(49).</w:t>
      </w:r>
    </w:p>
  </w:footnote>
  <w:footnote w:id="12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(1069).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(392، 585، 975).</w:t>
      </w:r>
    </w:p>
  </w:footnote>
  <w:footnote w:id="13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(105).</w:t>
      </w:r>
    </w:p>
  </w:footnote>
  <w:footnote w:id="14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(161).</w:t>
      </w:r>
    </w:p>
  </w:footnote>
  <w:footnote w:id="15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(79).</w:t>
      </w:r>
    </w:p>
  </w:footnote>
  <w:footnote w:id="16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(618-619).</w:t>
      </w:r>
    </w:p>
  </w:footnote>
  <w:footnote w:id="17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(117).</w:t>
      </w:r>
    </w:p>
  </w:footnote>
  <w:footnote w:id="18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(72).</w:t>
      </w:r>
    </w:p>
  </w:footnote>
  <w:footnote w:id="19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(774-775).</w:t>
      </w:r>
    </w:p>
  </w:footnote>
  <w:footnote w:id="20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(89).</w:t>
      </w:r>
    </w:p>
  </w:footnote>
  <w:footnote w:id="21"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(14).</w:t>
      </w:r>
    </w:p>
  </w:footnote>
  <w:footnote w:id="22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(908-909).</w:t>
      </w:r>
    </w:p>
  </w:footnote>
  <w:footnote w:id="23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(156، 672، 755).</w:t>
      </w:r>
    </w:p>
  </w:footnote>
  <w:footnote w:id="24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(88).</w:t>
      </w:r>
    </w:p>
  </w:footnote>
  <w:footnote w:id="25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(70).</w:t>
      </w:r>
    </w:p>
  </w:footnote>
  <w:footnote w:id="26"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(401).</w:t>
      </w:r>
    </w:p>
  </w:footnote>
  <w:footnote w:id="27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(30).</w:t>
      </w:r>
    </w:p>
  </w:footnote>
  <w:footnote w:id="28"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(13-14).</w:t>
      </w:r>
    </w:p>
  </w:footnote>
  <w:footnote w:id="29"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(532-533).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(479، 505، 526، 552، 999-1000، 1018).</w:t>
      </w:r>
    </w:p>
  </w:footnote>
  <w:footnote w:id="30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(72).</w:t>
      </w:r>
    </w:p>
  </w:footnote>
  <w:footnote w:id="31"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(8).</w:t>
      </w:r>
    </w:p>
  </w:footnote>
  <w:footnote w:id="32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(376).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(565، 593، 609، 1028).</w:t>
      </w:r>
    </w:p>
  </w:footnote>
  <w:footnote w:id="33"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(63).</w:t>
      </w:r>
    </w:p>
  </w:footnote>
  <w:footnote w:id="34"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(119).</w:t>
      </w:r>
    </w:p>
  </w:footnote>
  <w:footnote w:id="35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(366).</w:t>
      </w:r>
    </w:p>
  </w:footnote>
  <w:footnote w:id="36"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(31).</w:t>
      </w:r>
    </w:p>
  </w:footnote>
  <w:footnote w:id="37"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(36).</w:t>
      </w:r>
    </w:p>
  </w:footnote>
  <w:footnote w:id="38"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(479، 568، 585، 955، 1078).</w:t>
      </w:r>
    </w:p>
  </w:footnote>
  <w:footnote w:id="39"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(44).</w:t>
      </w:r>
    </w:p>
  </w:footnote>
  <w:footnote w:id="40"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(443).</w:t>
      </w:r>
    </w:p>
  </w:footnote>
  <w:footnote w:id="41"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(68).</w:t>
      </w:r>
    </w:p>
  </w:footnote>
  <w:footnote w:id="42"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(146، 164، 220، 231، 256، 291، 298، 319).</w:t>
      </w:r>
    </w:p>
  </w:footnote>
  <w:footnote w:id="43"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(179، 290، 291، 806، 855، 949).</w:t>
      </w:r>
    </w:p>
  </w:footnote>
  <w:footnote w:id="44"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(966، 1065، 1084).</w:t>
      </w:r>
    </w:p>
  </w:footnote>
  <w:footnote w:id="45"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(69).</w:t>
      </w:r>
    </w:p>
  </w:footnote>
  <w:footnote w:id="46"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(900، 1021).</w:t>
      </w:r>
    </w:p>
  </w:footnote>
  <w:footnote w:id="47"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(295، 305، 350، 532، 547).</w:t>
      </w:r>
    </w:p>
  </w:footnote>
  <w:footnote w:id="48"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(547/ 1047).</w:t>
      </w:r>
    </w:p>
  </w:footnote>
  <w:footnote w:id="49"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(160، 197، 208، 231).</w:t>
      </w:r>
    </w:p>
  </w:footnote>
  <w:footnote w:id="50"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(146، 166، 175، 209، 210، 221، 231، 256).</w:t>
      </w:r>
    </w:p>
  </w:footnote>
  <w:footnote w:id="51"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(146، 231، 254).</w:t>
      </w:r>
    </w:p>
  </w:footnote>
  <w:footnote w:id="52"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(166، 175، 209، 210، 221، 231، 256).</w:t>
      </w:r>
    </w:p>
  </w:footnote>
  <w:footnote w:id="53"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(24).</w:t>
      </w:r>
    </w:p>
  </w:footnote>
  <w:footnote w:id="54"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(159-160).</w:t>
      </w:r>
    </w:p>
  </w:footnote>
  <w:footnote w:id="55"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(27).</w:t>
      </w:r>
    </w:p>
  </w:footnote>
  <w:footnote w:id="56"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(1046-1047)،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(333).</w:t>
      </w:r>
    </w:p>
  </w:footnote>
  <w:footnote w:id="57"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(29).</w:t>
      </w:r>
    </w:p>
  </w:footnote>
  <w:footnote w:id="58"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(985).</w:t>
      </w:r>
    </w:p>
  </w:footnote>
  <w:footnote w:id="59"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(40).</w:t>
      </w:r>
    </w:p>
  </w:footnote>
  <w:footnote w:id="60"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(1069-1070)،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(197-231).</w:t>
      </w:r>
    </w:p>
  </w:footnote>
  <w:footnote w:id="61"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(79).</w:t>
      </w:r>
    </w:p>
  </w:footnote>
  <w:footnote w:id="62"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(52).</w:t>
      </w:r>
    </w:p>
  </w:footnote>
  <w:footnote w:id="63"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(220).</w:t>
      </w:r>
    </w:p>
  </w:footnote>
  <w:footnote w:id="64"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(43).</w:t>
      </w:r>
    </w:p>
  </w:footnote>
  <w:footnote w:id="65"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(902، 916، 955، 1036، 1049، 1058، 1065).</w:t>
      </w:r>
    </w:p>
  </w:footnote>
  <w:footnote w:id="66"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(21).</w:t>
      </w:r>
    </w:p>
  </w:footnote>
  <w:footnote w:id="67"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(10).</w:t>
      </w:r>
    </w:p>
  </w:footnote>
  <w:footnote w:id="68"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(976).</w:t>
      </w:r>
    </w:p>
  </w:footnote>
  <w:footnote w:id="69"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(34).</w:t>
      </w:r>
    </w:p>
  </w:footnote>
  <w:footnote w:id="70"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(221، 231، 311، 338، 350، 362).</w:t>
      </w:r>
    </w:p>
  </w:footnote>
  <w:footnote w:id="71"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(228، 296).</w:t>
      </w:r>
    </w:p>
  </w:footnote>
  <w:footnote w:id="72"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(455، 931).</w:t>
      </w:r>
    </w:p>
  </w:footnote>
  <w:footnote w:id="73"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(924).</w:t>
      </w:r>
      <w:r w:rsidDel="00000000" w:rsidR="00000000" w:rsidRPr="00000000">
        <w:rPr>
          <w:rtl w:val="0"/>
        </w:rPr>
      </w:r>
    </w:p>
  </w:footnote>
  <w:footnote w:id="74"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(288، 296، 455، 464، 931).</w:t>
      </w:r>
    </w:p>
  </w:footnote>
  <w:footnote w:id="75"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(17).</w:t>
      </w:r>
    </w:p>
  </w:footnote>
  <w:footnote w:id="76"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(288).</w:t>
      </w:r>
    </w:p>
  </w:footnote>
  <w:footnote w:id="77"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(117).</w:t>
      </w:r>
    </w:p>
  </w:footnote>
  <w:footnote w:id="78"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(43).</w:t>
      </w:r>
    </w:p>
  </w:footnote>
  <w:footnote w:id="79"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(455).</w:t>
      </w:r>
    </w:p>
  </w:footnote>
  <w:footnote w:id="80"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(28).</w:t>
      </w:r>
    </w:p>
  </w:footnote>
  <w:footnote w:id="81"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(305).</w:t>
      </w:r>
    </w:p>
  </w:footnote>
  <w:footnote w:id="82"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(110).</w:t>
      </w:r>
    </w:p>
  </w:footnote>
  <w:footnote w:id="83"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(931-932).</w:t>
      </w:r>
    </w:p>
  </w:footnote>
  <w:footnote w:id="84"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85"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(788، 789).</w:t>
      </w:r>
    </w:p>
  </w:footnote>
  <w:footnote w:id="86"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(241، 802).</w:t>
      </w:r>
    </w:p>
  </w:footnote>
  <w:footnote w:id="87"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(203، 685، 819).</w:t>
      </w:r>
    </w:p>
  </w:footnote>
  <w:footnote w:id="88"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(12).</w:t>
      </w:r>
    </w:p>
  </w:footnote>
  <w:footnote w:id="89"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(802).</w:t>
      </w:r>
    </w:p>
  </w:footnote>
  <w:footnote w:id="90"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(1-2).</w:t>
      </w:r>
    </w:p>
  </w:footnote>
  <w:footnote w:id="91"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(1007).</w:t>
      </w:r>
    </w:p>
  </w:footnote>
  <w:footnote w:id="92"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(112).</w:t>
      </w:r>
    </w:p>
  </w:footnote>
  <w:footnote w:id="93"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(228، 229، 839، 1003).</w:t>
      </w:r>
    </w:p>
  </w:footnote>
  <w:footnote w:id="94"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(92).</w:t>
      </w:r>
    </w:p>
  </w:footnote>
  <w:footnote w:id="95"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(132-133، 271، 402، 417).</w:t>
      </w:r>
    </w:p>
  </w:footnote>
  <w:footnote w:id="96"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(137، 599، 1000، 1029).</w:t>
      </w:r>
    </w:p>
  </w:footnote>
  <w:footnote w:id="97"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(728، 1003).</w:t>
      </w:r>
    </w:p>
  </w:footnote>
  <w:footnote w:id="98"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(969-970، 1029).</w:t>
      </w:r>
    </w:p>
  </w:footnote>
  <w:footnote w:id="99"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(229، 242، 497، 933).</w:t>
      </w:r>
    </w:p>
  </w:footnote>
  <w:footnote w:id="100"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(155، 660، 1000، 1003).</w:t>
      </w:r>
    </w:p>
  </w:footnote>
  <w:footnote w:id="101"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(515، 521، 528-529، 567).</w:t>
      </w:r>
    </w:p>
  </w:footnote>
  <w:footnote w:id="102"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(65).</w:t>
      </w:r>
    </w:p>
  </w:footnote>
  <w:footnote w:id="103"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(66).</w:t>
      </w:r>
    </w:p>
  </w:footnote>
  <w:footnote w:id="104"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(241-242).</w:t>
      </w:r>
    </w:p>
  </w:footnote>
  <w:footnote w:id="105"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(33).</w:t>
      </w:r>
    </w:p>
  </w:footnote>
  <w:footnote w:id="106"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(995).</w:t>
      </w:r>
    </w:p>
  </w:footnote>
  <w:footnote w:id="107"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(39).</w:t>
      </w:r>
    </w:p>
  </w:footnote>
  <w:footnote w:id="108"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(27).</w:t>
      </w:r>
    </w:p>
  </w:footnote>
  <w:footnote w:id="109"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(1000).</w:t>
      </w:r>
    </w:p>
  </w:footnote>
  <w:footnote w:id="110"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(22).</w:t>
      </w:r>
    </w:p>
  </w:footnote>
  <w:footnote w:id="111"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(1037).</w:t>
      </w:r>
    </w:p>
  </w:footnote>
  <w:footnote w:id="112"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(67).</w:t>
      </w:r>
    </w:p>
  </w:footnote>
  <w:footnote w:id="113"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(245).</w:t>
      </w:r>
    </w:p>
  </w:footnote>
  <w:footnote w:id="114"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(113).</w:t>
      </w:r>
    </w:p>
  </w:footnote>
  <w:footnote w:id="115"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(447-450).</w:t>
      </w:r>
    </w:p>
  </w:footnote>
  <w:footnote w:id="116"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(384-386).</w:t>
      </w:r>
    </w:p>
  </w:footnote>
  <w:footnote w:id="117"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(674، 675).</w:t>
      </w:r>
    </w:p>
  </w:footnote>
  <w:footnote w:id="118"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(805، 809، 846، 868، 869، 909، 913، 921، 923).</w:t>
      </w:r>
    </w:p>
  </w:footnote>
  <w:footnote w:id="119"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(794، 846).</w:t>
      </w:r>
    </w:p>
  </w:footnote>
  <w:footnote w:id="120"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(910).</w:t>
      </w:r>
    </w:p>
  </w:footnote>
  <w:footnote w:id="121"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(108).</w:t>
      </w:r>
    </w:p>
  </w:footnote>
  <w:footnote w:id="122"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(437).</w:t>
      </w:r>
    </w:p>
  </w:footnote>
  <w:footnote w:id="123"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(2).</w:t>
      </w:r>
    </w:p>
  </w:footnote>
  <w:footnote w:id="124"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(25).</w:t>
      </w:r>
    </w:p>
  </w:footnote>
  <w:footnote w:id="125"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(129).</w:t>
      </w:r>
    </w:p>
  </w:footnote>
  <w:footnote w:id="126"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(473).</w:t>
      </w:r>
    </w:p>
  </w:footnote>
  <w:footnote w:id="127"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(6).</w:t>
      </w:r>
    </w:p>
  </w:footnote>
  <w:footnote w:id="128"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(275).</w:t>
      </w:r>
    </w:p>
  </w:footnote>
  <w:footnote w:id="129"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(668، 889، 1036).</w:t>
      </w:r>
    </w:p>
  </w:footnote>
  <w:footnote w:id="130"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(25).</w:t>
      </w:r>
      <w:r w:rsidDel="00000000" w:rsidR="00000000" w:rsidRPr="00000000">
        <w:rPr>
          <w:rtl w:val="0"/>
        </w:rPr>
      </w:r>
    </w:p>
  </w:footnote>
  <w:footnote w:id="131"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(42).</w:t>
      </w:r>
    </w:p>
  </w:footnote>
  <w:footnote w:id="132"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(195-198).</w:t>
      </w:r>
    </w:p>
  </w:footnote>
  <w:footnote w:id="133"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(75).</w:t>
      </w:r>
      <w:r w:rsidDel="00000000" w:rsidR="00000000" w:rsidRPr="00000000">
        <w:rPr>
          <w:rtl w:val="0"/>
        </w:rPr>
      </w:r>
    </w:p>
  </w:footnote>
  <w:footnote w:id="134"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(283، 354، 355).</w:t>
      </w:r>
      <w:r w:rsidDel="00000000" w:rsidR="00000000" w:rsidRPr="00000000">
        <w:rPr>
          <w:rtl w:val="0"/>
        </w:rPr>
      </w:r>
    </w:p>
  </w:footnote>
  <w:footnote w:id="135"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(70).</w:t>
      </w:r>
    </w:p>
  </w:footnote>
  <w:footnote w:id="136"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(884).</w:t>
      </w:r>
    </w:p>
  </w:footnote>
  <w:footnote w:id="137"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(37).</w:t>
      </w:r>
    </w:p>
  </w:footnote>
  <w:footnote w:id="138"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(1065).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(83).</w:t>
      </w:r>
    </w:p>
  </w:footnote>
  <w:footnote w:id="139"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(69).</w:t>
      </w:r>
      <w:r w:rsidDel="00000000" w:rsidR="00000000" w:rsidRPr="00000000">
        <w:rPr>
          <w:rtl w:val="0"/>
        </w:rPr>
      </w:r>
    </w:p>
  </w:footnote>
  <w:footnote w:id="140"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(24).</w:t>
      </w:r>
    </w:p>
  </w:footnote>
  <w:footnote w:id="141"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(792، 965).</w:t>
      </w:r>
    </w:p>
  </w:footnote>
  <w:footnote w:id="142"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85.</w:t>
      </w:r>
    </w:p>
  </w:footnote>
  <w:footnote w:id="143"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(902).</w:t>
      </w:r>
    </w:p>
  </w:footnote>
  <w:footnote w:id="144"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(307، 902، 977).</w:t>
      </w:r>
    </w:p>
  </w:footnote>
  <w:footnote w:id="145"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(522، 531، 682، 692، 757، 954، 981).</w:t>
      </w:r>
    </w:p>
  </w:footnote>
  <w:footnote w:id="146"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(522، 681، 692، 757، 954).</w:t>
      </w:r>
    </w:p>
  </w:footnote>
  <w:footnote w:id="147"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(531، 977، 981، 1035).</w:t>
      </w:r>
    </w:p>
  </w:footnote>
  <w:footnote w:id="148"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(102).</w:t>
      </w:r>
    </w:p>
  </w:footnote>
  <w:footnote w:id="149"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(85).</w:t>
      </w:r>
    </w:p>
  </w:footnote>
  <w:footnote w:id="150"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(901-902).</w:t>
      </w:r>
    </w:p>
  </w:footnote>
  <w:footnote w:id="151"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(23-24).</w:t>
      </w:r>
    </w:p>
  </w:footnote>
  <w:footnote w:id="152"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(531، 681-682، 692، 757، 954، 1035).</w:t>
      </w:r>
    </w:p>
  </w:footnote>
  <w:footnote w:id="153"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(70).</w:t>
      </w:r>
    </w:p>
  </w:footnote>
  <w:footnote w:id="154"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(714).</w:t>
      </w:r>
    </w:p>
  </w:footnote>
  <w:footnote w:id="155"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(34).</w:t>
      </w:r>
    </w:p>
  </w:footnote>
  <w:footnote w:id="156"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(814، 838، 841، 972، 977).</w:t>
      </w:r>
    </w:p>
  </w:footnote>
  <w:footnote w:id="157"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(49، 58).</w:t>
      </w:r>
    </w:p>
  </w:footnote>
  <w:footnote w:id="158"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(124، 314-315، 517، 739، 782، 784).</w:t>
      </w:r>
    </w:p>
  </w:footnote>
  <w:footnote w:id="159"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(25).</w:t>
      </w:r>
    </w:p>
  </w:footnote>
  <w:footnote w:id="160"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(18).</w:t>
      </w:r>
    </w:p>
  </w:footnote>
  <w:footnote w:id="161"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(2).</w:t>
      </w:r>
    </w:p>
  </w:footnote>
  <w:footnote w:id="162"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(164-165).</w:t>
      </w:r>
    </w:p>
  </w:footnote>
  <w:footnote w:id="163"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(28-29).</w:t>
      </w:r>
    </w:p>
  </w:footnote>
  <w:footnote w:id="164"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(264، 269، 271، 276، 936، 938، 1007).</w:t>
      </w:r>
    </w:p>
  </w:footnote>
  <w:footnote w:id="165"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(62).</w:t>
      </w:r>
    </w:p>
  </w:footnote>
  <w:footnote w:id="166"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(708).</w:t>
      </w:r>
    </w:p>
  </w:footnote>
  <w:footnote w:id="167"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(93).</w:t>
      </w:r>
    </w:p>
  </w:footnote>
  <w:footnote w:id="168"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(745).</w:t>
      </w:r>
    </w:p>
  </w:footnote>
  <w:footnote w:id="169"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(2-4).</w:t>
      </w:r>
    </w:p>
  </w:footnote>
  <w:footnote w:id="170"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(124).</w:t>
      </w:r>
    </w:p>
  </w:footnote>
  <w:footnote w:id="171"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(14-15).</w:t>
      </w:r>
    </w:p>
  </w:footnote>
  <w:footnote w:id="172"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(286).</w:t>
      </w:r>
    </w:p>
  </w:footnote>
  <w:footnote w:id="173"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(94).</w:t>
      </w:r>
    </w:p>
  </w:footnote>
  <w:footnote w:id="174"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(410).</w:t>
      </w:r>
    </w:p>
  </w:footnote>
  <w:footnote w:id="175"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(17).</w:t>
      </w:r>
    </w:p>
  </w:footnote>
  <w:footnote w:id="176"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(505</w:t>
        <w:tab/>
        <w:t xml:space="preserve">).</w:t>
      </w:r>
    </w:p>
  </w:footnote>
  <w:footnote w:id="177"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(99).</w:t>
      </w:r>
    </w:p>
  </w:footnote>
  <w:footnote w:id="178"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(414).</w:t>
      </w:r>
    </w:p>
  </w:footnote>
  <w:footnote w:id="179"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(103).</w:t>
      </w:r>
    </w:p>
  </w:footnote>
  <w:footnote w:id="180"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(753-754).</w:t>
      </w:r>
    </w:p>
  </w:footnote>
  <w:footnote w:id="181"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(8).</w:t>
      </w:r>
    </w:p>
  </w:footnote>
  <w:footnote w:id="182"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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(7).</w:t>
      </w:r>
      <w:r w:rsidDel="00000000" w:rsidR="00000000" w:rsidRPr="00000000">
        <w:rPr>
          <w:rtl w:val="0"/>
        </w:rPr>
      </w:r>
    </w:p>
  </w:footnote>
  <w:footnote w:id="183"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(204، 230، 308، 401، 441، 541، 566، 569، 1042).</w:t>
      </w:r>
    </w:p>
  </w:footnote>
  <w:footnote w:id="184"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(43).</w:t>
      </w:r>
    </w:p>
  </w:footnote>
  <w:footnote w:id="185"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(1003-1005)،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(1089-1090).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منهجه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التفسير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sz w:val="52"/>
      <w:szCs w:val="5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54"/>
      <w:szCs w:val="5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