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-520699</wp:posOffset>
                </wp:positionV>
                <wp:extent cx="819150" cy="4000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-520699</wp:posOffset>
                </wp:positionV>
                <wp:extent cx="819150" cy="400050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pStyle w:val="Title"/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ســــورة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الرعـــد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sz w:val="32"/>
          <w:szCs w:val="32"/>
          <w:vertAlign w:val="baseline"/>
        </w:rPr>
        <w:drawing>
          <wp:inline distB="0" distT="0" distL="114300" distR="114300">
            <wp:extent cx="1166495" cy="3321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32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طائفة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للإيقاظ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بالكتاب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َ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بدلا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إجمال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الحارث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فالآيب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-1625599</wp:posOffset>
                </wp:positionV>
                <wp:extent cx="819150" cy="400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-1625599</wp:posOffset>
                </wp:positionV>
                <wp:extent cx="819150" cy="40005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-1587499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(1، 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-1587499</wp:posOffset>
                </wp:positionH>
                <wp:positionV relativeFrom="paragraph">
                  <wp:posOffset>-533399</wp:posOffset>
                </wp:positionV>
                <wp:extent cx="1238250" cy="400050"/>
                <wp:effectExtent b="0" l="0" r="0" t="0"/>
                <wp:wrapNone/>
                <wp:docPr id="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لإخلالهم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لجحودهم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استكبارا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السفليات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فيتوافقان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مقررة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ü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%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r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A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R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&amp;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7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9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)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`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B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7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În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/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,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#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التقرير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والخبر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كإهاب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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استئناف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برؤيتها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-2057399</wp:posOffset>
                </wp:positionV>
                <wp:extent cx="819150" cy="40005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-2057399</wp:posOffset>
                </wp:positionV>
                <wp:extent cx="819150" cy="400050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والملكوت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يجلس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المستمرة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الاستواء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 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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[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حالان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تتمته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وخبران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لتحقيق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لاستقلال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بشأن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كالإماتة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والإحياء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والإيجاد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والإعدام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كالإيحاء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819150" cy="400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-495299</wp:posOffset>
                </wp:positionV>
                <wp:extent cx="819150" cy="40005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[</w:t>
      </w:r>
      <w:r w:rsidDel="00000000" w:rsidR="00000000" w:rsidRPr="00000000">
        <w:rPr>
          <w:vertAlign w:val="baseline"/>
          <w:rtl w:val="1"/>
        </w:rPr>
        <w:t xml:space="preserve">لكي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توقنوا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بالإحياء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الممات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قاطعة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(2، 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-1549399</wp:posOffset>
                </wp:positionH>
                <wp:positionV relativeFrom="paragraph">
                  <wp:posOffset>-863599</wp:posOffset>
                </wp:positionV>
                <wp:extent cx="1238250" cy="400050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دحاها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وبسطها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وعرضا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ليتكامل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جبالا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شوامخ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مياها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جارية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مستأنف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أسود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حلوا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وحامضا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الفطرة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تكاثرت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بالاثنين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لئلا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متعار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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ذهابه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بالغشيان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الملفوف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ساتر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vertAlign w:val="baseline"/>
          <w:rtl w:val="1"/>
        </w:rPr>
        <w:t xml:space="preserve">يغش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مشددا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-888999</wp:posOffset>
                </wp:positionV>
                <wp:extent cx="1238250" cy="4000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(3، 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-888999</wp:posOffset>
                </wp:positionV>
                <wp:extent cx="1238250" cy="40005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دالة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والكيفيات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تدبرها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الاعتبار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متلاصقة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نباتها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خبيثة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نباتا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تمسك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الاشتراك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واتحاد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الحكيم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المتجاورة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بساتين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ونخيل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وشعبة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بجرهما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ولدلالته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الأنواع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vertAlign w:val="baseline"/>
          <w:rtl w:val="0"/>
        </w:rPr>
        <w:t xml:space="preserve">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عفي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واللؤلؤي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وجنات</w:t>
      </w:r>
      <w:r w:rsidDel="00000000" w:rsidR="00000000" w:rsidRPr="00000000">
        <w:rPr>
          <w:vertAlign w:val="baseline"/>
          <w:rtl w:val="1"/>
        </w:rPr>
        <w:t xml:space="preserve">ٍ"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وجنات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أعناب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</w:t>
      </w:r>
      <w:r w:rsidDel="00000000" w:rsidR="00000000" w:rsidRPr="00000000">
        <w:rPr>
          <w:b w:val="1"/>
          <w:vertAlign w:val="baseline"/>
          <w:rtl w:val="1"/>
        </w:rPr>
        <w:t xml:space="preserve">وزرع</w:t>
      </w:r>
      <w:r w:rsidDel="00000000" w:rsidR="00000000" w:rsidRPr="00000000">
        <w:rPr>
          <w:b w:val="1"/>
          <w:vertAlign w:val="baseline"/>
          <w:rtl w:val="1"/>
        </w:rPr>
        <w:t xml:space="preserve">ٍ </w:t>
      </w:r>
      <w:r w:rsidDel="00000000" w:rsidR="00000000" w:rsidRPr="00000000">
        <w:rPr>
          <w:b w:val="1"/>
          <w:vertAlign w:val="baseline"/>
          <w:rtl w:val="1"/>
        </w:rPr>
        <w:t xml:space="preserve">ونخيل</w:t>
      </w:r>
      <w:r w:rsidDel="00000000" w:rsidR="00000000" w:rsidRPr="00000000">
        <w:rPr>
          <w:b w:val="1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431800</wp:posOffset>
                </wp:positionV>
                <wp:extent cx="657860" cy="33909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021833" y="3615218"/>
                          <a:ext cx="64833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147/أ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-2120899</wp:posOffset>
                </wp:positionH>
                <wp:positionV relativeFrom="paragraph">
                  <wp:posOffset>431800</wp:posOffset>
                </wp:positionV>
                <wp:extent cx="657860" cy="33909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" cy="33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-546099</wp:posOffset>
                </wp:positionV>
                <wp:extent cx="819150" cy="4000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-546099</wp:posOffset>
                </wp:positionV>
                <wp:extent cx="819150" cy="400050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نخلات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عم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المرء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صنو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أبيه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مشتركان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بالتنوين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متفرقات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وإعرابا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-558799</wp:posOffset>
                </wp:positionV>
                <wp:extent cx="819150" cy="4000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-558799</wp:posOffset>
                </wp:positionV>
                <wp:extent cx="819150" cy="400050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الأوصاف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بالتذكير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المذكور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بالتأنيث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نكتة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قرأه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مسندا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819150" cy="4000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-507999</wp:posOffset>
                </wp:positionV>
                <wp:extent cx="819150" cy="400050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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وضمه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المأكول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بعج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أكلها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بالثمر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تغليبا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والرائحة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الفاصلة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وإرساء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وإجراء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وتكوير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البساتين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وإدراك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وطعما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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إنكارهم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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بخلقهن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فبالحري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وأيسر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ويتعجب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فازدد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عجبا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اعترافه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بإيجادها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-1676399</wp:posOffset>
                </wp:positionV>
                <wp:extent cx="1238250" cy="4000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(4، 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-1676399</wp:posOffset>
                </wp:positionV>
                <wp:extent cx="1238250" cy="400050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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بالإخبار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بالاستفهام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الكاملون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كناية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إصرارهم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مقمحا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بالأغلال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 w:firstLine="72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........…………... </w:t>
        <w:tab/>
        <w:tab/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لال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ياد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الوعيد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تأسيسا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الكبائر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-927099</wp:posOffset>
                </wp:positionV>
                <wp:extent cx="1238250" cy="4000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(5، 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-927099</wp:posOffset>
                </wp:positionV>
                <wp:extent cx="1238250" cy="400050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بالنقمة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السيئة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: </w:t>
      </w:r>
      <w:r w:rsidDel="00000000" w:rsidR="00000000" w:rsidRPr="00000000">
        <w:rPr>
          <w:b w:val="1"/>
          <w:sz w:val="46"/>
          <w:szCs w:val="46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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العقوبات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بمكذبي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برسولهم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دعاهم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تكاملهم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ورسوخ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ذنوبهم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عفو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وتجاوزه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هنأ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أحدا</w:t>
      </w:r>
      <w:r w:rsidDel="00000000" w:rsidR="00000000" w:rsidRPr="00000000">
        <w:rPr>
          <w:b w:val="1"/>
          <w:vertAlign w:val="baseline"/>
          <w:rtl w:val="1"/>
        </w:rPr>
        <w:t xml:space="preserve">ً </w:t>
      </w:r>
      <w:r w:rsidDel="00000000" w:rsidR="00000000" w:rsidRPr="00000000">
        <w:rPr>
          <w:b w:val="1"/>
          <w:vertAlign w:val="baseline"/>
          <w:rtl w:val="1"/>
        </w:rPr>
        <w:t xml:space="preserve">العيش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ولولا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وعيده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وعقابه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لاتكل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-546099</wp:posOffset>
                </wp:positionV>
                <wp:extent cx="1238250" cy="4000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(6، 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-546099</wp:posOffset>
                </wp:positionV>
                <wp:extent cx="1238250" cy="40005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واقترحوا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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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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</w:rPr>
        <w:footnoteReference w:customMarkFollows="0" w:id="101"/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superscript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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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الإنذار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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يقدر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هدايتهم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عتاب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نذير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لقولهم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وإثباتا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لرسالته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والأسود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-1282699</wp:posOffset>
                </wp:positionV>
                <wp:extent cx="819150" cy="400050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"</w:t>
      </w:r>
      <w:r w:rsidDel="00000000" w:rsidR="00000000" w:rsidRPr="00000000">
        <w:rPr>
          <w:vertAlign w:val="baseline"/>
          <w:rtl w:val="1"/>
        </w:rPr>
        <w:t xml:space="preserve">هادي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بالياء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بحذفها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31638" y="3584738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الآيتان (7، 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-520699</wp:posOffset>
                </wp:positionV>
                <wp:extent cx="1238250" cy="40005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حملها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تحمله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ذكرا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أنثى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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تنقصه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أقصى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سنتان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وأربع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الضحاك</w:t>
      </w:r>
      <w:r w:rsidDel="00000000" w:rsidR="00000000" w:rsidRPr="00000000">
        <w:rPr>
          <w:vertAlign w:val="baseline"/>
          <w:rtl w:val="1"/>
        </w:rPr>
        <w:t xml:space="preserve">....................... .....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لسنتين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لأربع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أبوحنيفة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باليمن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امرأته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بطونا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نقصان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وازدياده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-2222499</wp:posOffset>
                </wp:positionH>
                <wp:positionV relativeFrom="paragraph">
                  <wp:posOffset>838200</wp:posOffset>
                </wp:positionV>
                <wp:extent cx="828040" cy="36068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36743" y="3604423"/>
                          <a:ext cx="81851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147/ب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-2222499</wp:posOffset>
                </wp:positionH>
                <wp:positionV relativeFrom="paragraph">
                  <wp:posOffset>838200</wp:posOffset>
                </wp:positionV>
                <wp:extent cx="828040" cy="36068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4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وغاض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ولازما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ازداد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-1663699</wp:posOffset>
                </wp:positionV>
                <wp:extent cx="819150" cy="400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-1663699</wp:posOffset>
                </wp:positionV>
                <wp:extent cx="819150" cy="4000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أردف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إجابتهم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اقترحوه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قضائه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معاندون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المسترشد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للحق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ٍّ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يتجاوزه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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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-1892299</wp:posOffset>
                </wp:positionH>
                <wp:positionV relativeFrom="paragraph">
                  <wp:posOffset>-1257299</wp:posOffset>
                </wp:positionV>
                <wp:extent cx="1581150" cy="400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60188" y="3584738"/>
                          <a:ext cx="1571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الآيات (8-10)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-1892299</wp:posOffset>
                </wp:positionH>
                <wp:positionV relativeFrom="paragraph">
                  <wp:posOffset>-1257299</wp:posOffset>
                </wp:positionV>
                <wp:extent cx="1581150" cy="40005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الغائب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والحاضر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تعميم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التخصيص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كبرياؤه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وشأنه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جبروته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أسمعه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مختف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الاختفاء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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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[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الظهور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المؤمن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يخلى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129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لـه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ربه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حيث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يشاء</w:t>
      </w:r>
      <w:r w:rsidDel="00000000" w:rsidR="00000000" w:rsidRPr="00000000">
        <w:rPr>
          <w:vertAlign w:val="baseline"/>
          <w:rtl w:val="0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الاستواء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التعدد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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vertAlign w:val="baseline"/>
          <w:rtl w:val="0"/>
        </w:rPr>
        <w:t xml:space="preserve"> </w:t>
      </w:r>
    </w:p>
    <w:p w:rsidR="00000000" w:rsidDel="00000000" w:rsidP="00000000" w:rsidRDefault="00000000" w:rsidRPr="00000000" w14:paraId="0000002F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بالخفايا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والسرائر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النكتة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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[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وأعمله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مؤخرا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معطوف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الموصوفة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الفرزدق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-507999</wp:posOffset>
                </wp:positionV>
                <wp:extent cx="996950" cy="400050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widowControl w:val="0"/>
        <w:bidi w:val="1"/>
        <w:ind w:left="0" w:right="0" w:firstLine="720"/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</w:t>
        <w:tab/>
        <w:tab/>
      </w:r>
      <w:r w:rsidDel="00000000" w:rsidR="00000000" w:rsidRPr="00000000">
        <w:rPr>
          <w:vertAlign w:val="baseline"/>
          <w:rtl w:val="1"/>
        </w:rPr>
        <w:t xml:space="preserve">نكن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ذئب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حبان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للمبالغة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معقبة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فلانا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أسمائه</w:t>
      </w:r>
      <w:r w:rsidDel="00000000" w:rsidR="00000000" w:rsidRPr="00000000">
        <w:rPr>
          <w:vertAlign w:val="baseline"/>
          <w:rtl w:val="1"/>
        </w:rPr>
        <w:t xml:space="preserve"> : "</w:t>
      </w:r>
      <w:r w:rsidDel="00000000" w:rsidR="00000000" w:rsidRPr="00000000">
        <w:rPr>
          <w:vertAlign w:val="baseline"/>
          <w:rtl w:val="1"/>
        </w:rPr>
        <w:t xml:space="preserve">العاقب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للمبالغة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الافتعال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أدغمت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نظيره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ُ: </w:t>
      </w:r>
      <w:r w:rsidDel="00000000" w:rsidR="00000000" w:rsidRPr="00000000">
        <w:rPr>
          <w:vertAlign w:val="baseline"/>
          <w:rtl w:val="1"/>
        </w:rPr>
        <w:t xml:space="preserve">التناوب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هريرة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وامرأته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يعتقبون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أثلاثا</w:t>
      </w:r>
      <w:r w:rsidDel="00000000" w:rsidR="00000000" w:rsidRPr="00000000">
        <w:rPr>
          <w:vertAlign w:val="baseline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-495299</wp:posOffset>
                </wp:positionV>
                <wp:extent cx="819150" cy="400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941188" y="3584738"/>
                          <a:ext cx="8096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-1396999</wp:posOffset>
                </wp:positionH>
                <wp:positionV relativeFrom="paragraph">
                  <wp:posOffset>-495299</wp:posOffset>
                </wp:positionV>
                <wp:extent cx="819150" cy="40005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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بالذكر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صلة</w:t>
      </w:r>
      <w:r w:rsidDel="00000000" w:rsidR="00000000" w:rsidRPr="00000000">
        <w:rPr>
          <w:vertAlign w:val="baseline"/>
          <w:rtl w:val="1"/>
        </w:rPr>
        <w:t xml:space="preserve"> 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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يحفظونه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يراقبون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يحفظونه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ونقمته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بالاستغفار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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 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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30"/>
          <w:szCs w:val="30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30"/>
          <w:szCs w:val="30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30"/>
          <w:szCs w:val="30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30"/>
          <w:szCs w:val="30"/>
          <w:vertAlign w:val="baseline"/>
          <w:rtl w:val="0"/>
        </w:rPr>
        <w:t xml:space="preserve">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المعقبات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يحفظونه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-876299</wp:posOffset>
                </wp:positionV>
                <wp:extent cx="996950" cy="400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52288" y="3584738"/>
                          <a:ext cx="987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الآية 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-1523999</wp:posOffset>
                </wp:positionH>
                <wp:positionV relativeFrom="paragraph">
                  <wp:posOffset>-876299</wp:posOffset>
                </wp:positionV>
                <wp:extent cx="996950" cy="400050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9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2" w:type="default"/>
      <w:footerReference r:id="rId33" w:type="default"/>
      <w:footerReference r:id="rId34" w:type="even"/>
      <w:pgSz w:h="16838" w:w="11906"/>
      <w:pgMar w:bottom="1701" w:top="1985" w:left="1985" w:right="1985" w:header="1134" w:footer="851"/>
      <w:pgNumType w:start="93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02"/>
        <w:szCs w:val="10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(31)".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الخرساني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"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(5/353).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(4/599).</w:t>
      </w:r>
    </w:p>
  </w:footnote>
  <w:footnote w:id="2"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169).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(1/262).</w:t>
      </w:r>
    </w:p>
  </w:footnote>
  <w:footnote w:id="3"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"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(781).</w:t>
      </w:r>
    </w:p>
  </w:footnote>
  <w:footnote w:id="5"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"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"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(3/332):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العجيبة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(1/501).</w:t>
      </w:r>
    </w:p>
  </w:footnote>
  <w:footnote w:id="8"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9"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(7/5).</w:t>
      </w:r>
    </w:p>
  </w:footnote>
  <w:footnote w:id="10"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1"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(2/749).</w:t>
      </w:r>
    </w:p>
  </w:footnote>
  <w:footnote w:id="12"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فالغانم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فالآيب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الشيباني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فالغانم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فالآيب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فيغنم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بضد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يتحسر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للمرزوقي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(8/133).</w:t>
      </w:r>
    </w:p>
  </w:footnote>
  <w:footnote w:id="13"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والاختصاص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(3-4)،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أوتيت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لزوم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4604).</w:t>
      </w:r>
    </w:p>
  </w:footnote>
  <w:footnote w:id="14"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(2/163).</w:t>
      </w:r>
    </w:p>
  </w:footnote>
  <w:footnote w:id="16"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(3).</w:t>
      </w:r>
    </w:p>
  </w:footnote>
  <w:footnote w:id="17"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(3/332).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المعطوف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ليتوافقا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التضاد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(486).</w:t>
      </w:r>
    </w:p>
  </w:footnote>
  <w:footnote w:id="18"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9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(5/353).</w:t>
      </w:r>
    </w:p>
  </w:footnote>
  <w:footnote w:id="21"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(3/304).</w:t>
      </w:r>
    </w:p>
  </w:footnote>
  <w:footnote w:id="23"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للسماوات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نراها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(1/440).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تمسكها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(4/301)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(5/353)،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(3/291):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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(65)".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5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استغنى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فالعالي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وتعطيل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الانفطار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(1-2).</w:t>
      </w:r>
    </w:p>
  </w:footnote>
  <w:footnote w:id="28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(9/279)،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(1/500)،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(16/326)،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(937).</w:t>
      </w:r>
    </w:p>
  </w:footnote>
  <w:footnote w:id="30"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المبتدأ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(938).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(13/128).</w:t>
      </w:r>
    </w:p>
  </w:footnote>
  <w:footnote w:id="31"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2"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(52/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والملكوت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المخلوقين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استئناف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(7/11).</w:t>
      </w:r>
    </w:p>
  </w:footnote>
  <w:footnote w:id="33"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إحداهما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4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وخبران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5"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6"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لتتكامل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7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(3/137).</w:t>
      </w:r>
    </w:p>
  </w:footnote>
  <w:footnote w:id="38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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الثمرات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(7/12).</w:t>
      </w:r>
    </w:p>
  </w:footnote>
  <w:footnote w:id="39"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0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والبيضـاوي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(1/501).</w:t>
      </w:r>
    </w:p>
  </w:footnote>
  <w:footnote w:id="41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(5/355).</w:t>
      </w:r>
    </w:p>
  </w:footnote>
  <w:footnote w:id="43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(678).</w:t>
      </w:r>
    </w:p>
  </w:footnote>
  <w:footnote w:id="45"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(2/342).</w:t>
      </w:r>
    </w:p>
  </w:footnote>
  <w:footnote w:id="46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(91).</w:t>
      </w:r>
    </w:p>
  </w:footnote>
  <w:footnote w:id="47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8"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9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بساتين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ونخيل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(4/303).</w:t>
      </w:r>
    </w:p>
  </w:footnote>
  <w:footnote w:id="50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(2/19).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51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(32).</w:t>
      </w:r>
    </w:p>
  </w:footnote>
  <w:footnote w:id="52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(1/164).</w:t>
      </w:r>
    </w:p>
  </w:footnote>
  <w:footnote w:id="53"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اللؤلؤي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الخزاعي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الجحدري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(1/143).</w:t>
      </w:r>
    </w:p>
  </w:footnote>
  <w:footnote w:id="54"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5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الجعفي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(207/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56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المتعاطفين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7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(16/335)،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(2/660).</w:t>
      </w:r>
    </w:p>
  </w:footnote>
  <w:footnote w:id="58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(920) .</w:t>
      </w:r>
    </w:p>
  </w:footnote>
  <w:footnote w:id="59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والاثنان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0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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(943)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(1).</w:t>
      </w:r>
    </w:p>
  </w:footnote>
  <w:footnote w:id="61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(107).</w:t>
      </w:r>
    </w:p>
  </w:footnote>
  <w:footnote w:id="62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مؤنثة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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(2/19).</w:t>
      </w:r>
    </w:p>
  </w:footnote>
  <w:footnote w:id="64"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5"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والباقون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(107).</w:t>
      </w:r>
    </w:p>
  </w:footnote>
  <w:footnote w:id="66"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(190)،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(2/216).</w:t>
      </w:r>
    </w:p>
  </w:footnote>
  <w:footnote w:id="69"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0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(1/139)،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منظور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(2/214)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وأذلها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1"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(3/138).</w:t>
      </w:r>
    </w:p>
  </w:footnote>
  <w:footnote w:id="72"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(5/357).</w:t>
      </w:r>
    </w:p>
  </w:footnote>
  <w:footnote w:id="73"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4"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(10/281).</w:t>
      </w:r>
    </w:p>
  </w:footnote>
  <w:footnote w:id="75"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6"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(3/333).</w:t>
      </w:r>
    </w:p>
  </w:footnote>
  <w:footnote w:id="77"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وتتعجب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فزد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واعجبا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79"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(492).</w:t>
      </w:r>
    </w:p>
  </w:footnote>
  <w:footnote w:id="80"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(1/501).</w:t>
      </w:r>
    </w:p>
  </w:footnote>
  <w:footnote w:id="81"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(2/48).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منصوبة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</w:t>
      </w:r>
    </w:p>
  </w:footnote>
  <w:footnote w:id="82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(107).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الاستفهام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الاستفهام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مذكورا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83"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(3/333).</w:t>
      </w:r>
    </w:p>
  </w:footnote>
  <w:footnote w:id="84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(5).</w:t>
      </w:r>
    </w:p>
  </w:footnote>
  <w:footnote w:id="85"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وعبارته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الكاملون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6"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7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   </w:t>
        <w:tab/>
        <w:t xml:space="preserve">.............................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(493)،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(13/150)،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للمزروقي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مقصدهم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  <w:t xml:space="preserve">  ..............................</w:t>
      </w:r>
    </w:p>
  </w:footnote>
  <w:footnote w:id="88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(1/501)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للأكثرين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9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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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(71-72).</w:t>
      </w:r>
    </w:p>
  </w:footnote>
  <w:footnote w:id="90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(19/9)،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(1/501).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مستفاد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91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(224).</w:t>
      </w:r>
    </w:p>
  </w:footnote>
  <w:footnote w:id="92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بالاستعجال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(7/19).</w:t>
      </w:r>
    </w:p>
  </w:footnote>
  <w:footnote w:id="93"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(2/752).</w:t>
      </w:r>
    </w:p>
  </w:footnote>
  <w:footnote w:id="94"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(32).</w:t>
      </w:r>
    </w:p>
  </w:footnote>
  <w:footnote w:id="95"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استعجال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6"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  <w:br w:type="textWrapping"/>
        <w:t xml:space="preserve">(11/615).</w:t>
      </w:r>
    </w:p>
  </w:footnote>
  <w:footnote w:id="97"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(1/502):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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ذنوبه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فضيحته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وصافح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أنؤاخذ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أحسن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يؤاخذ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يؤاخذ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189).</w:t>
      </w:r>
    </w:p>
  </w:footnote>
  <w:footnote w:id="98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99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(4/355)-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مرفوعا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لإرساله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(3/127).</w:t>
      </w:r>
    </w:p>
  </w:footnote>
  <w:footnote w:id="100"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يعتقدوا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1"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</w:footnote>
  <w:footnote w:id="102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(90-91).</w:t>
      </w:r>
    </w:p>
  </w:footnote>
  <w:footnote w:id="103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(4/3-7).</w:t>
      </w:r>
    </w:p>
  </w:footnote>
  <w:footnote w:id="104"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5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(1/2/332)،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(225).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(16/357)،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يعطى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06"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(2/49).</w:t>
      </w:r>
    </w:p>
  </w:footnote>
  <w:footnote w:id="108"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يعطهن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الأنبيـاء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وبعثت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(115).</w:t>
      </w:r>
    </w:p>
  </w:footnote>
  <w:footnote w:id="109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(2/675).</w:t>
      </w:r>
    </w:p>
  </w:footnote>
  <w:footnote w:id="110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(34).</w:t>
      </w:r>
    </w:p>
  </w:footnote>
  <w:footnote w:id="111"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2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3"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(3/335-336)،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والبيضـاوي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(5/362).</w:t>
      </w:r>
    </w:p>
  </w:footnote>
  <w:footnote w:id="114"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(2/672)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5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6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(3/1109)،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(9/286).</w:t>
      </w:r>
    </w:p>
  </w:footnote>
  <w:footnote w:id="117"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(16/363)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مزاحم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جويبر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(9/223)،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للداودي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(1/222).</w:t>
      </w:r>
    </w:p>
  </w:footnote>
  <w:footnote w:id="118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العابدين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(7/131)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(2/119).</w:t>
      </w:r>
    </w:p>
  </w:footnote>
  <w:footnote w:id="119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(9/288)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(4/48).</w:t>
      </w:r>
    </w:p>
  </w:footnote>
  <w:footnote w:id="120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(5/361).</w:t>
      </w:r>
    </w:p>
  </w:footnote>
  <w:footnote w:id="121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المبسوط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(30/52).</w:t>
      </w:r>
    </w:p>
  </w:footnote>
  <w:footnote w:id="122"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(4/50).</w:t>
      </w:r>
    </w:p>
  </w:footnote>
  <w:footnote w:id="123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(16/360)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(4/308).</w:t>
      </w:r>
    </w:p>
  </w:footnote>
  <w:footnote w:id="124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تعديتهما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ولزومهما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(5/361).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(7/201)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(3/198).</w:t>
      </w:r>
    </w:p>
  </w:footnote>
  <w:footnote w:id="125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(49).</w:t>
      </w:r>
    </w:p>
  </w:footnote>
  <w:footnote w:id="126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7"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(2/60).</w:t>
      </w:r>
    </w:p>
  </w:footnote>
  <w:footnote w:id="128"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(1/462).</w:t>
      </w:r>
    </w:p>
  </w:footnote>
  <w:footnote w:id="129"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0"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العجلوني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موقوفا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(1/502).</w:t>
      </w:r>
    </w:p>
  </w:footnote>
  <w:footnote w:id="132"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3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4"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5"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(54/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36"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7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صعصعة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أبوفراس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والأخطل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والشعراء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(1/471)،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(5/601).</w:t>
      </w:r>
    </w:p>
  </w:footnote>
  <w:footnote w:id="138"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عاهدتني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تخونني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ab/>
        <w:t xml:space="preserve">........................</w:t>
      </w:r>
    </w:p>
  </w:footnote>
  <w:footnote w:id="139"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ذئبا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الفرزدق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(2/316)،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(2/422)،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(3/337)،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(7/24).</w:t>
      </w:r>
    </w:p>
  </w:footnote>
  <w:footnote w:id="140"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أنثت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(2/167).</w:t>
      </w:r>
    </w:p>
  </w:footnote>
  <w:footnote w:id="141"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(16/369).</w:t>
      </w:r>
    </w:p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(7/27).</w:t>
      </w:r>
    </w:p>
  </w:footnote>
  <w:footnote w:id="142"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(4/77).</w:t>
      </w:r>
    </w:p>
  </w:footnote>
  <w:footnote w:id="143"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أسمائه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(4/1828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يمحو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قدمي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العاقب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والعاقب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».</w:t>
      </w:r>
    </w:p>
  </w:footnote>
  <w:footnote w:id="144"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(3/268).</w:t>
      </w:r>
    </w:p>
  </w:footnote>
  <w:footnote w:id="145"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(90).</w:t>
      </w:r>
    </w:p>
  </w:footnote>
  <w:footnote w:id="146"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معتقبات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فأدغمت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المعتذرون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يرتض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(5/363)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فاحش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التصريفيون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يدغمان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47"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خادمه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(7/206).</w:t>
      </w:r>
    </w:p>
  </w:footnote>
  <w:footnote w:id="148"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(16/370، 375)،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(3/338).</w:t>
      </w:r>
    </w:p>
  </w:footnote>
  <w:footnote w:id="149"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(5).</w:t>
      </w:r>
    </w:p>
  </w:footnote>
  <w:footnote w:id="150"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(1/503).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(4/311).</w:t>
      </w:r>
    </w:p>
  </w:footnote>
  <w:footnote w:id="151"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الجلاوزة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(5/322).</w:t>
      </w:r>
    </w:p>
  </w:footnote>
  <w:footnote w:id="152"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(16/373)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(4/311).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الرعد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ind w:left="0" w:right="0"/>
      <w:jc w:val="center"/>
    </w:pPr>
    <w:rPr>
      <w:sz w:val="48"/>
      <w:szCs w:val="4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0.png"/><Relationship Id="rId22" Type="http://schemas.openxmlformats.org/officeDocument/2006/relationships/image" Target="media/image46.png"/><Relationship Id="rId21" Type="http://schemas.openxmlformats.org/officeDocument/2006/relationships/image" Target="media/image42.png"/><Relationship Id="rId24" Type="http://schemas.openxmlformats.org/officeDocument/2006/relationships/image" Target="media/image8.png"/><Relationship Id="rId23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4.png"/><Relationship Id="rId26" Type="http://schemas.openxmlformats.org/officeDocument/2006/relationships/image" Target="media/image12.png"/><Relationship Id="rId25" Type="http://schemas.openxmlformats.org/officeDocument/2006/relationships/image" Target="media/image10.png"/><Relationship Id="rId28" Type="http://schemas.openxmlformats.org/officeDocument/2006/relationships/image" Target="media/image18.png"/><Relationship Id="rId27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image" Target="media/image20.png"/><Relationship Id="rId7" Type="http://schemas.openxmlformats.org/officeDocument/2006/relationships/image" Target="media/image38.png"/><Relationship Id="rId8" Type="http://schemas.openxmlformats.org/officeDocument/2006/relationships/image" Target="media/image2.png"/><Relationship Id="rId31" Type="http://schemas.openxmlformats.org/officeDocument/2006/relationships/image" Target="media/image16.png"/><Relationship Id="rId30" Type="http://schemas.openxmlformats.org/officeDocument/2006/relationships/image" Target="media/image14.png"/><Relationship Id="rId11" Type="http://schemas.openxmlformats.org/officeDocument/2006/relationships/image" Target="media/image44.png"/><Relationship Id="rId33" Type="http://schemas.openxmlformats.org/officeDocument/2006/relationships/footer" Target="footer1.xml"/><Relationship Id="rId10" Type="http://schemas.openxmlformats.org/officeDocument/2006/relationships/image" Target="media/image48.png"/><Relationship Id="rId32" Type="http://schemas.openxmlformats.org/officeDocument/2006/relationships/header" Target="header1.xml"/><Relationship Id="rId13" Type="http://schemas.openxmlformats.org/officeDocument/2006/relationships/image" Target="media/image26.png"/><Relationship Id="rId12" Type="http://schemas.openxmlformats.org/officeDocument/2006/relationships/image" Target="media/image28.png"/><Relationship Id="rId34" Type="http://schemas.openxmlformats.org/officeDocument/2006/relationships/footer" Target="footer2.xml"/><Relationship Id="rId15" Type="http://schemas.openxmlformats.org/officeDocument/2006/relationships/image" Target="media/image30.png"/><Relationship Id="rId14" Type="http://schemas.openxmlformats.org/officeDocument/2006/relationships/image" Target="media/image32.png"/><Relationship Id="rId17" Type="http://schemas.openxmlformats.org/officeDocument/2006/relationships/image" Target="media/image22.png"/><Relationship Id="rId16" Type="http://schemas.openxmlformats.org/officeDocument/2006/relationships/image" Target="media/image24.png"/><Relationship Id="rId19" Type="http://schemas.openxmlformats.org/officeDocument/2006/relationships/image" Target="media/image36.png"/><Relationship Id="rId18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