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بالكفران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قطعا</w:t>
      </w:r>
      <w:r w:rsidDel="00000000" w:rsidR="00000000" w:rsidRPr="00000000">
        <w:rPr>
          <w:vertAlign w:val="baseline"/>
          <w:rtl w:val="1"/>
        </w:rPr>
        <w:t xml:space="preserve">ً.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(11، 12)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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بالياء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vertAlign w:val="baseline"/>
          <w:rtl w:val="0"/>
        </w:rPr>
        <w:t xml:space="preserve">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والمعقبات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آثار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سلطنته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دأب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يتعارفه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وحفظه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وأكمل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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إرادة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لمعان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الصاعقة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الخوف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والطمع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الإخافة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والإطماع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المخاطبين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إطلاق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الفاعل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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ثقيلة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للسحاب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بالجمع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سحابة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-876299</wp:posOffset>
                </wp:positionV>
                <wp:extent cx="1238250" cy="400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(12، 13)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-876299</wp:posOffset>
                </wp:positionV>
                <wp:extent cx="1238250" cy="40005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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سامعوه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اصطكاك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أجرام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السحاب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الرعد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موكل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بالسحاب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والبرق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لمعان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مخاريق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نار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بيده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يسوق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السحاب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فباعتبار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مخلوقاته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بملك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سلطانه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أتقى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وأخشى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المجرور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الرعد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بشيء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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يهلكه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بحرق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يحيي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والجدال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الخصومة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معطوفة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color w:val="000000"/>
          <w:sz w:val="36"/>
          <w:szCs w:val="36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المعطوف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والعدول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ازدادوا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عنادا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تجادلون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التفتت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تبعيدا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بمعزل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أملأ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الطفيل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قاصدين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يجادله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ويقول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أخبرني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نحاس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حديد</w:t>
      </w:r>
      <w:r w:rsidDel="00000000" w:rsidR="00000000" w:rsidRPr="00000000">
        <w:rPr>
          <w:vertAlign w:val="baseline"/>
          <w:rtl w:val="1"/>
        </w:rPr>
        <w:t xml:space="preserve">؟" </w:t>
      </w:r>
      <w:r w:rsidDel="00000000" w:rsidR="00000000" w:rsidRPr="00000000">
        <w:rPr>
          <w:vertAlign w:val="baseline"/>
          <w:rtl w:val="1"/>
        </w:rPr>
        <w:t xml:space="preserve">ودار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وقبض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سيفه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: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»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اكفنيهما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شئت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«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فأصابته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الصاعقة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فأحرقته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مكانه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وخرج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عامر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فنزل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بيت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سلولية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فأصابه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طاعون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فذهب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خلف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صاحبه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جهنم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وكان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يقول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"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غ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ُ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َّ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كغدة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البعير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وموت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بيت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سلولية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"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31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.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سلول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أذل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قبائل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العرب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32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-469899</wp:posOffset>
                </wp:positionV>
                <wp:extent cx="996950" cy="400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-469899</wp:posOffset>
                </wp:positionV>
                <wp:extent cx="996950" cy="40005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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قوي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المكايدة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والمكر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يدافع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33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الحديث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إبراهيم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كذبت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ثلاث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كذبات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/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رسول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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كذب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كذبة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إلا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وهو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يماحل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بها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الإسلام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»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34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يمدحه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بذلك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وأصل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35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ْ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قحط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المطر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36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.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ويجوز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يكون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الشيئين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إذا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دفع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أحدهما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الآخر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يحول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إذا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قدر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وقوي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الخصم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37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الحديث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«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اللهم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بك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أصول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وبك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أحول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»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38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الحيلة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39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غير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القياس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ويجوز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يكون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بمعنى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مستعارا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0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للقوة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كقوله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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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: «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ساع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ِ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أشد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ُّ،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وس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اه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أحد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ُّ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»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1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ردا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المشركين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قطع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أذن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البحيرة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2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-761999</wp:posOffset>
                </wp:positionH>
                <wp:positionV relativeFrom="paragraph">
                  <wp:posOffset>393700</wp:posOffset>
                </wp:positionV>
                <wp:extent cx="649605" cy="37528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025960" y="3597120"/>
                          <a:ext cx="6400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148/أ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-761999</wp:posOffset>
                </wp:positionH>
                <wp:positionV relativeFrom="paragraph">
                  <wp:posOffset>393700</wp:posOffset>
                </wp:positionV>
                <wp:extent cx="649605" cy="375285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جملة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مستأنفة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ضد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الباطل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فالمعنى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هو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الحقيق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ُ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دعى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ُ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عبد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لأنه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الذي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يسمع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ويجيب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فدعاء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3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غيره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دعاء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الباطل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وإن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أسمائه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تعالى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فأصل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الكلام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دعوته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فيدل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اختصاص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الدعاء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[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]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4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5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وإنما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وضع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موضع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الضمير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للدلالة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أنه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الثابت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عداه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إنما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يستفيد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ثبوتا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بالعرض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6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.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ثم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كانت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الآية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أربد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وعامر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فالجملتان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دلتا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هلاكهما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حيث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يشعرا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ِ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وإجابة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لدعوة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رسوله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وإن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كانت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عامة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فالمراد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وعيد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الكفرة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مجادلة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رسول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بحلول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محاله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بهم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7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-1269999</wp:posOffset>
                </wp:positionV>
                <wp:extent cx="1238250" cy="400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(13، 14)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-1269999</wp:posOffset>
                </wp:positionV>
                <wp:extent cx="1238250" cy="40005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الأصنام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الذين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يدعوهم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الكفار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ويعبدونهم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المفعول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محذوف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8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.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ِ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ْ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دفع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ضر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جلب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نفع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لأنها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جمادات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ش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ُ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الداعون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للأصنام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بسط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كفيه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ناشرا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أصابعه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يريد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اغتراف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الماء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أنهما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يحصلان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طائل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الماء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يتوصل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إليه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بالقبض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بالبسط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فالاستثناء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أعم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الأحوال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49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ووجه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الشبه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عقلي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0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اعتباري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1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.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شبه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آلهتهم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التجائهم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إليها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دفع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أهمهم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عدم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الشعور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فضلا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الاستطاعة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للاستجابة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يمرئ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عطشان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أحوج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هو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إليه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يناديه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عبارة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وإشارة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والمنادى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إدراك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2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لـه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حراك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3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الوجهين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شائبة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تهكم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4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-2082799</wp:posOffset>
                </wp:positionV>
                <wp:extent cx="996950" cy="400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-2082799</wp:posOffset>
                </wp:positionV>
                <wp:extent cx="996950" cy="40005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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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ضياع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يجلب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نفعا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سواء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دعوا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الأصنام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الملائكة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تعميم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وتأييس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جميع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الجهات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5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-939799</wp:posOffset>
                </wp:positionV>
                <wp:extent cx="1238250" cy="400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(14، 15)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-939799</wp:posOffset>
                </wp:positionV>
                <wp:extent cx="1238250" cy="40005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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ينقاد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أراده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طائعا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كارها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6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.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أصل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السجود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الانحناء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والانخفاض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7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 w:firstLine="720"/>
        <w:contextualSpacing w:val="0"/>
        <w:jc w:val="center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وقلن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س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ْ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ِ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ْ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فأ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س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ْ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8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أي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ط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ْ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ط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ِ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ْ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يأمرن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البعير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59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الحديث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"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كسرى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يسجد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للطايع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0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"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1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الأزهري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2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[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معناه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]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3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يخفض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رأسه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4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وتخصيصه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بوضع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الجبهة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عرف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طار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ٍ.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-546099</wp:posOffset>
                </wp:positionV>
                <wp:extent cx="996950" cy="4000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-546099</wp:posOffset>
                </wp:positionV>
                <wp:extent cx="996950" cy="40005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bidi w:val="1"/>
        <w:ind w:left="72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وقيل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المراد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وضع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الجبهة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والكافـر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يسجـد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حـال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الضـرورة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5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أيضا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يسجد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6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لـه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ويتصرف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7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مشيئته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امتدادا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وتقلصا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وفيئا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وزوالا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ضد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الرواح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النهار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وقت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الزوال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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جمع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[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الأصيل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]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8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العصر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الغروب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والمراد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69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بهما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الدوام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وإنما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خص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الوقتين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لظهور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الامتداد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والتقلص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فيهما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70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بعد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إقامة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الدلائل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القاطعة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تفرده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بأمر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الملك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والملكوت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أمره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يسألهم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ليلزمهم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باعترافهم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بذلك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وأنهم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يجدون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سبيلا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العدول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عنه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فيتركب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عليهم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الحجة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حكاية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لقولهم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كأنه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[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]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71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أجابوك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قولهم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إذ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قلت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رب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السماوات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؟،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تلقين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كأنه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لقنهم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الجواب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فإنهم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يذعنون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ثم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ألزمهم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بعد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72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-1663699</wp:posOffset>
                </wp:positionV>
                <wp:extent cx="1238250" cy="4000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(15، 16)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-1663699</wp:posOffset>
                </wp:positionV>
                <wp:extent cx="1238250" cy="40005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شروع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الإلزام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والهمزة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داخلة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الفاء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العاطفة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73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ْ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74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علمتموه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رب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السماوات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والأرض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جعلتم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مكانه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أربابا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تعبدونها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وكان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مقتضى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العلم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التوحيد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فكيف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عميت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بصائركم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؟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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فضلا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75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إحداث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الغير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 w:firstLine="72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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المشرك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والموحد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الجاهل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والعالم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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sz w:val="38"/>
          <w:szCs w:val="38"/>
          <w:vertAlign w:val="superscript"/>
        </w:rPr>
        <w:footnoteReference w:customMarkFollows="0" w:id="76"/>
      </w:r>
      <w:r w:rsidDel="00000000" w:rsidR="00000000" w:rsidRPr="00000000">
        <w:rPr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الكفر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والإيمان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وإنما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جمع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الظلمات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لاشتمال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الكفر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الشبهات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والشكوك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والحق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واضح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أبلج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الاستفهام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للإنكار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استواء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وفائدته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التأمل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وأن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يرضى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السامع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بدخوله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زمرة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العمي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المستغرقين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الظلمات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-507999</wp:posOffset>
                </wp:positionV>
                <wp:extent cx="1238250" cy="4000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(16، 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-507999</wp:posOffset>
                </wp:positionV>
                <wp:extent cx="1238250" cy="40005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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أجعلوا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شركاء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لشركاء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الشركاء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إزالتها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تهكم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الاشتباه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ناعيا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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موجده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الألوهيـة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كامل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والغلبة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الخلائق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للعبادة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السحاب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الفلك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واد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[</w:t>
      </w:r>
      <w:r w:rsidDel="00000000" w:rsidR="00000000" w:rsidRPr="00000000">
        <w:rPr>
          <w:vertAlign w:val="baseline"/>
          <w:rtl w:val="1"/>
        </w:rPr>
        <w:t xml:space="preserve">بمقدارها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الصغر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والكبر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بالمقدار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ناحية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وتنكير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الأودية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بقاع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غثاء</w:t>
      </w:r>
      <w:r w:rsidDel="00000000" w:rsidR="00000000" w:rsidRPr="00000000">
        <w:rPr>
          <w:vertAlign w:val="baseline"/>
          <w:rtl w:val="1"/>
        </w:rPr>
        <w:t xml:space="preserve">ً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عاليا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vertAlign w:val="baseline"/>
          <w:rtl w:val="1"/>
        </w:rPr>
        <w:t xml:space="preserve">ومما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توقدون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المعادن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تبتغون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الحلي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وآلات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والحرث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بالياء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إرشادهم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يمثلهما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ويبرزهما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المحسوس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إزاحة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للشبهة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مث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وأهله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المنـزل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أودية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وانتفع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الانتفاع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واتخاذ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متطاولة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/، </w:t>
      </w:r>
      <w:r w:rsidDel="00000000" w:rsidR="00000000" w:rsidRPr="00000000">
        <w:rPr>
          <w:vertAlign w:val="baseline"/>
          <w:rtl w:val="1"/>
        </w:rPr>
        <w:t xml:space="preserve">والباطل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وانسلاخه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المنفعة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بالزبد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يرمي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الفلز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فينعدم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وينمحي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-1689099</wp:posOffset>
                </wp:positionH>
                <wp:positionV relativeFrom="paragraph">
                  <wp:posOffset>-914399</wp:posOffset>
                </wp:positionV>
                <wp:extent cx="996950" cy="4000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-1689099</wp:posOffset>
                </wp:positionH>
                <wp:positionV relativeFrom="paragraph">
                  <wp:posOffset>-914399</wp:posOffset>
                </wp:positionV>
                <wp:extent cx="996950" cy="400050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-888999</wp:posOffset>
                </wp:positionH>
                <wp:positionV relativeFrom="paragraph">
                  <wp:posOffset>1181100</wp:posOffset>
                </wp:positionV>
                <wp:extent cx="741045" cy="3752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80240" y="359712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148/ب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-888999</wp:posOffset>
                </wp:positionH>
                <wp:positionV relativeFrom="paragraph">
                  <wp:posOffset>1181100</wp:posOffset>
                </wp:positionV>
                <wp:extent cx="741045" cy="37528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مجفوءا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مرميا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يرميه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والفلز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الجفه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حنين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انطلق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هوازن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سراعهم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وأوائلهم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المنابع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والآبار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وأصناف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الحبوب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المدخرة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والمعادن</w:t>
      </w:r>
      <w:r w:rsidDel="00000000" w:rsidR="00000000" w:rsidRPr="00000000">
        <w:rPr>
          <w:vertAlign w:val="baseline"/>
          <w:rtl w:val="1"/>
        </w:rPr>
        <w:t xml:space="preserve">،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أزمنة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متطاولة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-1269999</wp:posOffset>
                </wp:positionV>
                <wp:extent cx="996950" cy="400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-1269999</wp:posOffset>
                </wp:positionV>
                <wp:extent cx="996950" cy="4000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بالأودية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ووساوس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وهواجس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بالزبد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واستنبط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بالجواهر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الخالص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الوساوس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بالجفاء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الأودية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تتفاوت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الصغر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وإدراك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لطائف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التنـزيل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الفطرة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والاستعداد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المتنبي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-1498599</wp:posOffset>
                </wp:positionH>
                <wp:positionV relativeFrom="paragraph">
                  <wp:posOffset>-901699</wp:posOffset>
                </wp:positionV>
                <wp:extent cx="996950" cy="4000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-1498599</wp:posOffset>
                </wp:positionH>
                <wp:positionV relativeFrom="paragraph">
                  <wp:posOffset>-901699</wp:posOffset>
                </wp:positionV>
                <wp:extent cx="996950" cy="40005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الأذهان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القرائ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والفهوم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قوي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الجري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بالزبد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ويصفو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بحفظه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وتأمل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دقائقه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الوساوس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وهواجس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والمعادن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والفلزات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كالنحاس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كالحديد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-533399</wp:posOffset>
                </wp:positionV>
                <wp:extent cx="1238250" cy="400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(17، 18)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-533399</wp:posOffset>
                </wp:positionV>
                <wp:extent cx="1238250" cy="40005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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استجابوا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الاستجابة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المجرور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الكفرة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يستجيبوا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الطائفتين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المثوبـة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والجنـة</w:t>
      </w:r>
      <w:r w:rsidDel="00000000" w:rsidR="00000000" w:rsidRPr="00000000">
        <w:rPr>
          <w:vertAlign w:val="baseline"/>
          <w:rtl w:val="1"/>
        </w:rPr>
        <w:t xml:space="preserve">،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يقـع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فـي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مقابلـة</w:t>
      </w:r>
      <w:r w:rsidDel="00000000" w:rsidR="00000000" w:rsidRPr="00000000">
        <w:rPr>
          <w:vertAlign w:val="baseline"/>
          <w:rtl w:val="1"/>
        </w:rPr>
        <w:t xml:space="preserve">  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تحسير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أوثر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المستجيبين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تقصر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الإحاطة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-1244599</wp:posOffset>
                </wp:positionV>
                <wp:extent cx="1238250" cy="400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(18، 19)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-1244599</wp:posOffset>
                </wp:positionV>
                <wp:extent cx="1238250" cy="400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المناقشة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نوقش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الحساب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هلك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مرجعهم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والمستقر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والمخصوص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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المذكور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واستجاب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27" w:type="default"/>
      <w:footerReference r:id="rId28" w:type="default"/>
      <w:footerReference r:id="rId29" w:type="even"/>
      <w:pgSz w:h="16838" w:w="11906"/>
      <w:pgMar w:bottom="1701" w:top="1985" w:left="1985" w:right="1985" w:header="1134" w:footer="851"/>
      <w:pgNumType w:start="957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(2/21):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لأجله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اتحاد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المخاطبين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يجعلكم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رائين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فتخافون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وتطمعون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(7/31).</w:t>
      </w:r>
    </w:p>
  </w:footnote>
  <w:footnote w:id="2"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وإطماعا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3"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(1/503).</w:t>
      </w:r>
    </w:p>
  </w:footnote>
  <w:footnote w:id="4"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"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6"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"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"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(1/503).</w:t>
      </w:r>
    </w:p>
  </w:footnote>
  <w:footnote w:id="9"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أسندت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التسبيح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التسبيح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بمستنكر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44.</w:t>
      </w:r>
    </w:p>
  </w:footnote>
  <w:footnote w:id="10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اصطكات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"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2483)،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(8/277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3116)،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(4/161).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مخاريق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يزجرون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(1/343).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(4/618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والمخاريق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تزجر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وتسوقه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(2/26).</w:t>
      </w:r>
    </w:p>
  </w:footnote>
  <w:footnote w:id="12"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"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(3/340).</w:t>
      </w:r>
    </w:p>
  </w:footnote>
  <w:footnote w:id="14"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"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"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(1/503).</w:t>
      </w:r>
    </w:p>
  </w:footnote>
  <w:footnote w:id="17"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(1/103).</w:t>
      </w:r>
    </w:p>
  </w:footnote>
  <w:footnote w:id="18"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(7).</w:t>
      </w:r>
    </w:p>
  </w:footnote>
  <w:footnote w:id="19"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"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(6).</w:t>
      </w:r>
    </w:p>
  </w:footnote>
  <w:footnote w:id="21"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2"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3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"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(12).</w:t>
      </w:r>
    </w:p>
  </w:footnote>
  <w:footnote w:id="25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6"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7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(3/143).</w:t>
      </w:r>
    </w:p>
  </w:footnote>
  <w:footnote w:id="28"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(16/379)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(1/277):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29"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الطفيل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ملاعب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بعثهم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كافرا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(8/141)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0"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جادله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بالمجادلة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الطفيل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1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(278)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(5/318)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(7/42).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11259)،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وأبويعلى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3341)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6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6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(4/625).</w:t>
      </w:r>
    </w:p>
  </w:footnote>
  <w:footnote w:id="32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38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أشكو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38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مدخلها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(55/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صعصعة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ينسبون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(2/539).</w:t>
      </w:r>
    </w:p>
  </w:footnote>
  <w:footnote w:id="33"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(3/341).</w:t>
      </w:r>
    </w:p>
  </w:footnote>
  <w:footnote w:id="34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(8/297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3147)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الخدري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332).</w:t>
      </w:r>
    </w:p>
  </w:footnote>
  <w:footnote w:id="35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6"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(11/617).</w:t>
      </w:r>
    </w:p>
  </w:footnote>
  <w:footnote w:id="37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(3/143).</w:t>
      </w:r>
    </w:p>
  </w:footnote>
  <w:footnote w:id="38"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(3/184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12932)،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2632)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39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(16/396)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والأزهري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(5/95)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0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انتضد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(5/61).</w:t>
      </w:r>
    </w:p>
  </w:footnote>
  <w:footnote w:id="41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(3/473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15929، 15932)،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(19/279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614، 617، 621، 622)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نضلة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أطول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(422):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(3/341-342).</w:t>
      </w:r>
    </w:p>
  </w:footnote>
  <w:footnote w:id="42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(2/367):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تحريمها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آذانها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لخلقها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3"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فدعاه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4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5"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(3/342-343)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(4/317).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46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47"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(1/504).</w:t>
      </w:r>
    </w:p>
  </w:footnote>
  <w:footnote w:id="48"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49"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50"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عبدالقاهر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الجرجاني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(92).</w:t>
      </w:r>
    </w:p>
  </w:footnote>
  <w:footnote w:id="51"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(509).</w:t>
      </w:r>
    </w:p>
  </w:footnote>
  <w:footnote w:id="52"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لادراك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3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(4/317).</w:t>
      </w:r>
    </w:p>
  </w:footnote>
  <w:footnote w:id="54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55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جويبر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(4/318).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يستفيدون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يستفيدون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يطلبون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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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(65).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(2/697)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جويبر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مخالفته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للأصنام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 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 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جويبر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(143).</w:t>
      </w:r>
    </w:p>
  </w:footnote>
  <w:footnote w:id="56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(3/343).</w:t>
      </w:r>
    </w:p>
  </w:footnote>
  <w:footnote w:id="57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(3/133)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(3/205).</w:t>
      </w:r>
    </w:p>
  </w:footnote>
  <w:footnote w:id="58"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لأعرابي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(10/569)،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(3/205).</w:t>
      </w:r>
    </w:p>
  </w:footnote>
  <w:footnote w:id="59"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طأمن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لراكبه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60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(2/242)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(3/205).</w:t>
      </w:r>
    </w:p>
  </w:footnote>
  <w:footnote w:id="61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بمنـزلة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القرامطة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نشؤوا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يتكلمون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بطباعهم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منطقهم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فاستفاد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ونوادر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أودعها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(1/19).</w:t>
      </w:r>
    </w:p>
  </w:footnote>
  <w:footnote w:id="63"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4"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(2/173).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(2/342):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يجاوز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لراميه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ويستسلم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65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(16/403)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(2/61)،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6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7"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8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9"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0"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(5/369).</w:t>
      </w:r>
    </w:p>
  </w:footnote>
  <w:footnote w:id="71"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2"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(3/344).</w:t>
      </w:r>
    </w:p>
  </w:footnote>
  <w:footnote w:id="73"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(56/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74"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5"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افضلا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76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يستوي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(358).</w:t>
      </w:r>
    </w:p>
  </w:footnote>
  <w:footnote w:id="77"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(56/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78"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79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(14/398)،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للسحاب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80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مباديه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الأجرام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الفلكية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والوجهان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(2/102).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1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2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(16/412-414)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3"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4"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5"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سقطا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6"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(1/505).</w:t>
      </w:r>
    </w:p>
  </w:footnote>
  <w:footnote w:id="87"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(3/346).</w:t>
      </w:r>
    </w:p>
  </w:footnote>
  <w:footnote w:id="88"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(108).</w:t>
      </w:r>
    </w:p>
  </w:footnote>
  <w:footnote w:id="89"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إضمار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(1/550):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وإضماره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0"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واتخاذ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ينزله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فتسيل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فيحيون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وينفعهم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وبالفلز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ينتفعون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واتخاذ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 (3/345).</w:t>
      </w:r>
    </w:p>
  </w:footnote>
  <w:footnote w:id="91"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2"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(3/470)،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(5/392).</w:t>
      </w:r>
    </w:p>
  </w:footnote>
  <w:footnote w:id="93"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(1/49).</w:t>
      </w:r>
    </w:p>
  </w:footnote>
  <w:footnote w:id="94"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5"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6"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الهزيمة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واستنصـر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78)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اؤهم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79)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(12/117):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والهروي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مضمومة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وبالمد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وفسره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بسرعانهم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تشبيها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غثاؤه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(1/277).</w:t>
      </w:r>
    </w:p>
  </w:footnote>
  <w:footnote w:id="97"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8"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الغليظة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(10/510)،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(7/162)،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(1/234)،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(1/250).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بالجبوب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وأجباب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99"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(16/408، 409)،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(3/145-146)،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(3/345).</w:t>
      </w:r>
    </w:p>
  </w:footnote>
  <w:footnote w:id="100"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1"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2"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(9/305، 306)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(4/322).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احتملت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وشكها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فينفع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...".</w:t>
      </w:r>
    </w:p>
  </w:footnote>
  <w:footnote w:id="103"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زمانه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ومدحه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(16/199).</w:t>
      </w:r>
    </w:p>
  </w:footnote>
  <w:footnote w:id="104"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(1/208):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الأذهان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القرائح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والعلوم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(4/120):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الآذان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والعلوم</w:t>
      </w:r>
    </w:p>
  </w:footnote>
  <w:footnote w:id="105"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106"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المستجيبين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7"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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(5/373).</w:t>
      </w:r>
    </w:p>
  </w:footnote>
  <w:footnote w:id="108"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9"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(56/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10"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1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(517).</w:t>
      </w:r>
    </w:p>
  </w:footnote>
  <w:footnote w:id="112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أبوالجوزاء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(4/323).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3"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يعرفه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نعيمها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وأهلها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(4/2240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80)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114"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5"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الرعد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2.png"/><Relationship Id="rId22" Type="http://schemas.openxmlformats.org/officeDocument/2006/relationships/image" Target="media/image4.png"/><Relationship Id="rId21" Type="http://schemas.openxmlformats.org/officeDocument/2006/relationships/image" Target="media/image36.png"/><Relationship Id="rId24" Type="http://schemas.openxmlformats.org/officeDocument/2006/relationships/image" Target="media/image8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8.png"/><Relationship Id="rId26" Type="http://schemas.openxmlformats.org/officeDocument/2006/relationships/image" Target="media/image2.png"/><Relationship Id="rId25" Type="http://schemas.openxmlformats.org/officeDocument/2006/relationships/image" Target="media/image10.png"/><Relationship Id="rId28" Type="http://schemas.openxmlformats.org/officeDocument/2006/relationships/footer" Target="footer1.xml"/><Relationship Id="rId27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footer" Target="footer2.xml"/><Relationship Id="rId7" Type="http://schemas.openxmlformats.org/officeDocument/2006/relationships/image" Target="media/image28.png"/><Relationship Id="rId8" Type="http://schemas.openxmlformats.org/officeDocument/2006/relationships/image" Target="media/image24.png"/><Relationship Id="rId11" Type="http://schemas.openxmlformats.org/officeDocument/2006/relationships/image" Target="media/image18.png"/><Relationship Id="rId10" Type="http://schemas.openxmlformats.org/officeDocument/2006/relationships/image" Target="media/image34.png"/><Relationship Id="rId13" Type="http://schemas.openxmlformats.org/officeDocument/2006/relationships/image" Target="media/image22.png"/><Relationship Id="rId12" Type="http://schemas.openxmlformats.org/officeDocument/2006/relationships/image" Target="media/image16.png"/><Relationship Id="rId15" Type="http://schemas.openxmlformats.org/officeDocument/2006/relationships/image" Target="media/image14.png"/><Relationship Id="rId14" Type="http://schemas.openxmlformats.org/officeDocument/2006/relationships/image" Target="media/image20.png"/><Relationship Id="rId17" Type="http://schemas.openxmlformats.org/officeDocument/2006/relationships/image" Target="media/image40.png"/><Relationship Id="rId16" Type="http://schemas.openxmlformats.org/officeDocument/2006/relationships/image" Target="media/image12.png"/><Relationship Id="rId19" Type="http://schemas.openxmlformats.org/officeDocument/2006/relationships/image" Target="media/image30.png"/><Relationship Id="rId1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