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-2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بمعزل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يستبصر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خلجان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الشبهة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المراجيح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الاستبصار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(19، 20)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-2" w:right="0" w:firstLine="720"/>
        <w:contextualSpacing w:val="0"/>
        <w:jc w:val="both"/>
        <w:rPr>
          <w:rFonts w:ascii="HQPB4" w:cs="HQPB4" w:eastAsia="HQPB4" w:hAnsi="HQPB4"/>
          <w:color w:val="000000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color w:val="000000"/>
          <w:sz w:val="38"/>
          <w:szCs w:val="38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الذي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عاهدهم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عليه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[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حين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]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قال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لهـم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3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أو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كتبه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المنـزلة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الأحكام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والحدود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4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bidi w:val="1"/>
        <w:ind w:left="-2" w:right="0" w:firstLine="720"/>
        <w:contextualSpacing w:val="0"/>
        <w:jc w:val="both"/>
        <w:rPr>
          <w:rFonts w:ascii="HQPB4" w:cs="HQPB4" w:eastAsia="HQPB4" w:hAnsi="HQPB4"/>
          <w:color w:val="000000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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سواء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كان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مع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الله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أو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مع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أحد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خلقه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3">
      <w:pPr>
        <w:widowControl w:val="0"/>
        <w:bidi w:val="1"/>
        <w:ind w:left="-2" w:right="0" w:firstLine="720"/>
        <w:contextualSpacing w:val="0"/>
        <w:jc w:val="both"/>
        <w:rPr>
          <w:rFonts w:ascii="HQPB4" w:cs="HQPB4" w:eastAsia="HQPB4" w:hAnsi="HQPB4"/>
          <w:color w:val="000000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الأرحام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وسائر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الحقوق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ومنها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الإحسان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إلى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كافة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للأخوة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الثابتة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5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الحديث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: «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لا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يؤمن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أحدكم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حتى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يحب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لأخيه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ما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يحب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لنفسه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»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6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وفيه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7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: «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إن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الصدقة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أن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تلقى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أخاك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المؤمن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بوجه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ط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َ</w:t>
      </w:r>
      <w:r w:rsidDel="00000000" w:rsidR="00000000" w:rsidRPr="00000000">
        <w:rPr>
          <w:rFonts w:ascii="HQPB4" w:cs="HQPB4" w:eastAsia="HQPB4" w:hAnsi="HQPB4"/>
          <w:b w:val="1"/>
          <w:color w:val="000000"/>
          <w:vertAlign w:val="baseline"/>
          <w:rtl w:val="1"/>
        </w:rPr>
        <w:t xml:space="preserve">لق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»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8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bidi w:val="1"/>
        <w:ind w:left="0" w:right="0" w:firstLine="720"/>
        <w:contextualSpacing w:val="0"/>
        <w:jc w:val="both"/>
        <w:rPr>
          <w:rFonts w:ascii="HQPB4" w:cs="HQPB4" w:eastAsia="HQPB4" w:hAnsi="HQPB4"/>
          <w:color w:val="000000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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خصه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بالذكر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؛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لأنه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مقام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للعبد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مع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الله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أشد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وإن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شئت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تأمل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وقوفك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بين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يدي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ذلك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السلطان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العظيم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الشأن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وقد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أخرج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لك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عنقك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كتابا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ً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تلقاه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منشورا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ً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وقال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لك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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9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وفيه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القبائح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لو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اطلع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عليه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أدنى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الخلق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عندك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لاستغرقت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10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الخجل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bidi w:val="1"/>
        <w:ind w:left="0" w:right="0" w:firstLine="720"/>
        <w:contextualSpacing w:val="0"/>
        <w:jc w:val="both"/>
        <w:rPr>
          <w:rFonts w:ascii="HQPB4" w:cs="HQPB4" w:eastAsia="HQPB4" w:hAnsi="HQPB4"/>
          <w:color w:val="000000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حبسوا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أنفسهم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على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المكاره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المواطن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كلها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طلبا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ً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لمرضاة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الله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ليقال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: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أصبره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وأحمله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للنوازل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!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ولا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لأن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يعاب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بالجزع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أو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يشمت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الأعداء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11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.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العطف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فيه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الذي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قبله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عطف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12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الصفات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-888999</wp:posOffset>
                </wp:positionV>
                <wp:extent cx="996950" cy="4000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-888999</wp:posOffset>
                </wp:positionV>
                <wp:extent cx="996950" cy="40005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rFonts w:ascii="HQPB4" w:cs="HQPB4" w:eastAsia="HQPB4" w:hAnsi="HQPB4"/>
          <w:color w:val="000000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أدوها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على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وجه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الكمال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بعضه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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التطوع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AGA Arabesque" w:cs="AGA Arabesque" w:eastAsia="AGA Arabesque" w:hAnsi="AGA Arabesque"/>
          <w:color w:val="000000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الواجب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إيثارا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ً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للأفضل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13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14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وقيل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: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سرا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ً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يعرف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بالمال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وعلانية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لمن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عرف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به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color w:val="000000"/>
          <w:vertAlign w:val="superscript"/>
        </w:rPr>
        <w:footnoteReference w:customMarkFollows="0" w:id="15"/>
      </w:r>
      <w:r w:rsidDel="00000000" w:rsidR="00000000" w:rsidRPr="00000000">
        <w:rPr>
          <w:rFonts w:ascii="HQPB4" w:cs="HQPB4" w:eastAsia="HQPB4" w:hAnsi="HQPB4"/>
          <w:color w:val="000000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ليقتدى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به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ولئلا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يتهم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بالبخل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يدفعونها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العداو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تستحيل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مودة</w:t>
      </w:r>
      <w:r w:rsidDel="00000000" w:rsidR="00000000" w:rsidRPr="00000000">
        <w:rPr>
          <w:vertAlign w:val="baseline"/>
          <w:rtl w:val="1"/>
        </w:rPr>
        <w:t xml:space="preserve">ً </w:t>
        <w:tab/>
        <w:tab/>
      </w:r>
      <w:r w:rsidDel="00000000" w:rsidR="00000000" w:rsidRPr="00000000">
        <w:rPr>
          <w:vertAlign w:val="baseline"/>
          <w:rtl w:val="1"/>
        </w:rPr>
        <w:t xml:space="preserve">بتدارك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بالحسنات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أتبع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الحسنة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السيئة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تمحها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: « 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رموا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أعطوا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ظ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لموا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عفوا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طعوا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وصلوا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كيسان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أذنبوا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تابوا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الإطلاق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 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صفـة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عاقبة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مآبا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-1193799</wp:posOffset>
                </wp:positionV>
                <wp:extent cx="996950" cy="400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-1193799</wp:posOffset>
                </wp:positionV>
                <wp:extent cx="996950" cy="40005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مـن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مبتـدأ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خبـره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وسميت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الإقامة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ارتحال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-927099</wp:posOffset>
                </wp:positionV>
                <wp:extent cx="12382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(22، 23)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-1498599</wp:posOffset>
                </wp:positionH>
                <wp:positionV relativeFrom="paragraph">
                  <wp:posOffset>-927099</wp:posOffset>
                </wp:positionV>
                <wp:extent cx="12382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فاعـل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؛ </w:t>
      </w:r>
      <w:r w:rsidDel="00000000" w:rsidR="00000000" w:rsidRPr="00000000">
        <w:rPr>
          <w:vertAlign w:val="baseline"/>
          <w:rtl w:val="1"/>
        </w:rPr>
        <w:t xml:space="preserve">وساغ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بالمفعول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والأنساب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قارنها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نفعت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الوفاة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قل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32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كلمة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واحدة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أحاج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عند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التوفيق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ط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َ </w:t>
      </w:r>
      <w:r w:rsidDel="00000000" w:rsidR="00000000" w:rsidRPr="00000000">
        <w:rPr>
          <w:b w:val="1"/>
          <w:vertAlign w:val="baseline"/>
          <w:rtl w:val="1"/>
        </w:rPr>
        <w:t xml:space="preserve">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عمل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س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رع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نسب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/ 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</w:rPr>
        <w:footnoteReference w:customMarkFollows="0" w:id="36"/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منازلهم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فوجا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الإكرام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وتكميل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سمعت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-2019299</wp:posOffset>
                </wp:positionV>
                <wp:extent cx="1238250" cy="400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(23، 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-2019299</wp:posOffset>
                </wp:positionV>
                <wp:extent cx="1238250" cy="4000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-660399</wp:posOffset>
                </wp:positionV>
                <wp:extent cx="689610" cy="3816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05958" y="3593945"/>
                          <a:ext cx="68008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149/أ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-660399</wp:posOffset>
                </wp:positionV>
                <wp:extent cx="689610" cy="38163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" cy="381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قائلين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تهنئة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الدائمة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صبرتم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واحتملتم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vertAlign w:val="baseline"/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مغتفر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F">
      <w:pPr>
        <w:widowControl w:val="0"/>
        <w:bidi w:val="1"/>
        <w:ind w:left="-2" w:right="0" w:firstLine="72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عار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عظيم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-1269999</wp:posOffset>
                </wp:positionV>
                <wp:extent cx="12382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(24، 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-1269999</wp:posOffset>
                </wp:positionV>
                <wp:extent cx="12382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للترغيب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مقابلو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المتصفون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بأضداد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الأرحام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الحقوق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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بإلقاء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الطرد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واستعماله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لتضمين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اللصوق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سوء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عاقبة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فـي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مقابلـة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جهنم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-1777999</wp:posOffset>
                </wp:positionH>
                <wp:positionV relativeFrom="paragraph">
                  <wp:posOffset>-546099</wp:posOffset>
                </wp:positionV>
                <wp:extent cx="15811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(25-27)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-1777999</wp:posOffset>
                </wp:positionH>
                <wp:positionV relativeFrom="paragraph">
                  <wp:posOffset>-546099</wp:posOffset>
                </wp:positionV>
                <wp:extent cx="15811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لموجب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الشتاء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والصيف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وآمنهم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اللائق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بالشكر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ورحمته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نعيمهـا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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يتمتع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كرائحة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والرياحين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خوارق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كانشقاق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الباهر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جئت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هدايته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القبيل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بمثله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لتشارك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مقابلة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-1663699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-1663699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ومغفرته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والاضطراب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خشيته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تطمئن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وحدانيته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ملكوت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الاستبصار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إيقاظا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للكفرة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المستغرقين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الشبهات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-863599</wp:posOffset>
                </wp:positionV>
                <wp:extent cx="1238250" cy="4000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(28، 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-863599</wp:posOffset>
                </wp:positionV>
                <wp:extent cx="1238250" cy="40005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أفئدتهم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اعتراضية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اطمئنان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للقلوب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بذكره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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طوبى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أبدلت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لضمة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بلى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وطوبى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ثم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طوبى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آمن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يرني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طوبى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شجرة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هريرة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غصن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-546099</wp:posOffset>
                </wp:positionV>
                <wp:extent cx="9969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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عيش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-863599</wp:posOffset>
                </wp:positionV>
                <wp:extent cx="12382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(29، 30)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-1536699</wp:posOffset>
                </wp:positionH>
                <wp:positionV relativeFrom="paragraph">
                  <wp:posOffset>-863599</wp:posOffset>
                </wp:positionV>
                <wp:extent cx="12382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الإرسال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أرسلناك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إرسالك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يكذبك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وحسدا</w:t>
      </w:r>
      <w:r w:rsidDel="00000000" w:rsidR="00000000" w:rsidRPr="00000000">
        <w:rPr>
          <w:vertAlign w:val="baseline"/>
          <w:rtl w:val="1"/>
        </w:rPr>
        <w:t xml:space="preserve">ً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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وأمتك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بعدك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البالغ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للعالمين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رعاية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يضاهيه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ّ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الألوهية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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أموري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المجازي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(30، 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-495299</wp:posOffset>
                </wp:positionV>
                <wp:extent cx="1238250" cy="40005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ومزقت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تمزيقا</w:t>
      </w:r>
      <w:r w:rsidDel="00000000" w:rsidR="00000000" w:rsidRPr="00000000">
        <w:rPr>
          <w:vertAlign w:val="baseline"/>
          <w:rtl w:val="1"/>
        </w:rPr>
        <w:t xml:space="preserve">ً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فتسمع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وتجيب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التذكير</w:t>
      </w:r>
      <w:r w:rsidDel="00000000" w:rsidR="00000000" w:rsidRPr="00000000">
        <w:rPr>
          <w:vertAlign w:val="baseline"/>
          <w:rtl w:val="1"/>
        </w:rPr>
        <w:t xml:space="preserve">،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وسيشي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أركانه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قرآنا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وتقطيع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وتكليم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لتصميمهم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ظهور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: </w:t>
      </w:r>
      <w:r w:rsidDel="00000000" w:rsidR="00000000" w:rsidRPr="00000000">
        <w:rPr>
          <w:vertAlign w:val="baseline"/>
          <w:rtl w:val="1"/>
        </w:rPr>
        <w:t xml:space="preserve">سير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بقرآنك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فنتخذ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البساتين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والقطائع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سخرت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لداود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لنركبها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ونتجر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سخرت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لسليمان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آبائنا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تقطيع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-1587499</wp:posOffset>
                </wp:positionH>
                <wp:positionV relativeFrom="paragraph">
                  <wp:posOffset>-1320799</wp:posOffset>
                </wp:positionV>
                <wp:extent cx="996950" cy="4000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-1587499</wp:posOffset>
                </wp:positionH>
                <wp:positionV relativeFrom="paragraph">
                  <wp:posOffset>-1320799</wp:posOffset>
                </wp:positionV>
                <wp:extent cx="996950" cy="40005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-304799</wp:posOffset>
                </wp:positionV>
                <wp:extent cx="816610" cy="3390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42458" y="3615218"/>
                          <a:ext cx="80708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149/ب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-2184399</wp:posOffset>
                </wp:positionH>
                <wp:positionV relativeFrom="paragraph">
                  <wp:posOffset>-304799</wp:posOffset>
                </wp:positionV>
                <wp:extent cx="816610" cy="33909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610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يكفرون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قرآنا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سيرت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اعتراض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,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-901699</wp:posOffset>
                </wp:positionV>
                <wp:extent cx="996950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-901699</wp:posOffset>
                </wp:positionV>
                <wp:extent cx="996950" cy="4000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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التأثير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يشاركه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المقترحة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ألـم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يعلـم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نخع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أقول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  <w:tab/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ييأ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-888999</wp:posOffset>
                </wp:positionV>
                <wp:extent cx="996950" cy="400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-888999</wp:posOffset>
                </wp:positionV>
                <wp:extent cx="996950" cy="400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bidi w:val="1"/>
        <w:ind w:left="-2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والاستفهام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للتقريـر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نحـو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widowControl w:val="0"/>
        <w:bidi w:val="1"/>
        <w:ind w:left="-2" w:right="0" w:firstLine="2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يقنط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المعاندين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سـوء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الأعمـال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داهية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يغز</w:t>
      </w:r>
      <w:r w:rsidDel="00000000" w:rsidR="00000000" w:rsidRPr="00000000">
        <w:rPr>
          <w:b w:val="1"/>
          <w:vertAlign w:val="baseline"/>
          <w:rtl w:val="1"/>
        </w:rPr>
        <w:t xml:space="preserve">ُ </w:t>
      </w:r>
      <w:r w:rsidDel="00000000" w:rsidR="00000000" w:rsidRPr="00000000">
        <w:rPr>
          <w:b w:val="1"/>
          <w:vertAlign w:val="baseline"/>
          <w:rtl w:val="1"/>
        </w:rPr>
        <w:t xml:space="preserve">ولم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يجهز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غازيا</w:t>
      </w:r>
      <w:r w:rsidDel="00000000" w:rsidR="00000000" w:rsidRPr="00000000">
        <w:rPr>
          <w:b w:val="1"/>
          <w:vertAlign w:val="baseline"/>
          <w:rtl w:val="1"/>
        </w:rPr>
        <w:t xml:space="preserve">ً </w:t>
      </w:r>
      <w:r w:rsidDel="00000000" w:rsidR="00000000" w:rsidRPr="00000000">
        <w:rPr>
          <w:b w:val="1"/>
          <w:vertAlign w:val="baseline"/>
          <w:rtl w:val="1"/>
        </w:rPr>
        <w:t xml:space="preserve">أصابه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بقارعة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وأصله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الزبير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A">
      <w:pPr>
        <w:widowControl w:val="0"/>
        <w:bidi w:val="1"/>
        <w:ind w:left="0" w:right="0" w:firstLine="72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............................</w:t>
        <w:tab/>
      </w:r>
      <w:r w:rsidDel="00000000" w:rsidR="00000000" w:rsidRPr="00000000">
        <w:rPr>
          <w:vertAlign w:val="baseline"/>
          <w:rtl w:val="1"/>
        </w:rPr>
        <w:t xml:space="preserve">بهن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-888999</wp:posOffset>
                </wp:positionV>
                <wp:extent cx="996950" cy="400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(31)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-888999</wp:posOffset>
                </wp:positionV>
                <wp:extent cx="996950" cy="400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فيقلقون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فتصيب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بجيشك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الحديبية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bidi w:val="1"/>
        <w:ind w:left="-2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تصيبهم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باقتراحهم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مهلكة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وصاحبه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الطفيل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المستهزئين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 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وإقامته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ظهور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sectPr>
      <w:headerReference r:id="rId27" w:type="default"/>
      <w:footerReference r:id="rId28" w:type="default"/>
      <w:footerReference r:id="rId29" w:type="even"/>
      <w:pgSz w:h="16838" w:w="11906"/>
      <w:pgMar w:bottom="1701" w:top="1985" w:left="1985" w:right="1985" w:header="1134" w:footer="851"/>
      <w:pgNumType w:start="97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(5/311).</w:t>
      </w:r>
    </w:p>
  </w:footnote>
  <w:footnote w:id="1"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لإنكار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فاستجاب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يستصبر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فيستجيب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والخبث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والإبريز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"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"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(172).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(3/13)،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(4/310).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(3/309):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أوامره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ونواهيه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(10).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(3/347).</w:t>
      </w:r>
    </w:p>
  </w:footnote>
  <w:footnote w:id="6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لأخيه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لأخيه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7"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8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استحباب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(4/2066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تحقرن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تلقى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تلقى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(6/196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1971).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(16/177):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منبسط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(14).</w:t>
      </w:r>
    </w:p>
  </w:footnote>
  <w:footnote w:id="10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لاستغفرت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(3/347).</w:t>
      </w:r>
    </w:p>
  </w:footnote>
  <w:footnote w:id="12"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(3/348).</w:t>
      </w:r>
    </w:p>
  </w:footnote>
  <w:footnote w:id="15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"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(5/153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21392)،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تمحها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22112)،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18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(5/377).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(4/324).</w:t>
      </w:r>
    </w:p>
  </w:footnote>
  <w:footnote w:id="19"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(1/18).</w:t>
      </w:r>
    </w:p>
  </w:footnote>
  <w:footnote w:id="20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(5/377).</w:t>
      </w:r>
    </w:p>
  </w:footnote>
  <w:footnote w:id="21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(13/204).</w:t>
      </w:r>
    </w:p>
  </w:footnote>
  <w:footnote w:id="22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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استئنافا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مآلهم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(7/43).</w:t>
      </w:r>
    </w:p>
  </w:footnote>
  <w:footnote w:id="23"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(3/347).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لرعاية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التقابل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الطائفتين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وجريهما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استئناف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كأعمى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(518).</w:t>
      </w:r>
    </w:p>
  </w:footnote>
  <w:footnote w:id="24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(1/506).</w:t>
      </w:r>
    </w:p>
  </w:footnote>
  <w:footnote w:id="26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(3/349).</w:t>
      </w:r>
    </w:p>
  </w:footnote>
  <w:footnote w:id="27"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(2757)،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(5/377).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وجوزوا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8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(3/147).</w:t>
      </w:r>
    </w:p>
  </w:footnote>
  <w:footnote w:id="30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(5/378).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التوكيد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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31"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بنفعها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(13/205-206).</w:t>
      </w:r>
    </w:p>
  </w:footnote>
  <w:footnote w:id="32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الوفاة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إسقاطها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للناسخ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3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(448).</w:t>
      </w:r>
    </w:p>
  </w:footnote>
  <w:footnote w:id="34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(4/2074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36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7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(21).</w:t>
      </w:r>
    </w:p>
  </w:footnote>
  <w:footnote w:id="38"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(1/506).</w:t>
      </w:r>
    </w:p>
  </w:footnote>
  <w:footnote w:id="39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(16/424).</w:t>
      </w:r>
    </w:p>
  </w:footnote>
  <w:footnote w:id="40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(7/44).</w:t>
      </w:r>
    </w:p>
  </w:footnote>
  <w:footnote w:id="42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(3/349).</w:t>
      </w:r>
    </w:p>
  </w:footnote>
  <w:footnote w:id="43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(56/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44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الدؤلي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  <w:tab/>
        <w:t xml:space="preserve">........................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(3/41-42).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(3/619).</w:t>
      </w:r>
    </w:p>
  </w:footnote>
  <w:footnote w:id="45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6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مقابلون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والهجرج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والهرج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(6/49).</w:t>
      </w:r>
    </w:p>
  </w:footnote>
  <w:footnote w:id="48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لتضمينه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9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0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(1/506).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(5/379):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1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2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(4/326).</w:t>
      </w:r>
    </w:p>
  </w:footnote>
  <w:footnote w:id="53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4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(1/507).</w:t>
      </w:r>
    </w:p>
  </w:footnote>
  <w:footnote w:id="55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6"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(7/46).</w:t>
      </w:r>
    </w:p>
  </w:footnote>
  <w:footnote w:id="57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(23).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والوجهان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(1/507).</w:t>
      </w:r>
    </w:p>
  </w:footnote>
  <w:footnote w:id="58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(57/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ومناسبة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(525).</w:t>
      </w:r>
    </w:p>
  </w:footnote>
  <w:footnote w:id="60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(1/507).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الراجح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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....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(30-31).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وفضله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وكرمه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وحدانيته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إفراده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تطمئن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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اعتراضية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(57/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ûï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õ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ûï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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اعتراضية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تطمئن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اطمئنان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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64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(1/443)،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والبيضـاوي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(5/380).</w:t>
      </w:r>
    </w:p>
  </w:footnote>
  <w:footnote w:id="65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6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(14/39):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وطوبى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يبـى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فقلبت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لانضمام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(4/328).</w:t>
      </w:r>
    </w:p>
  </w:footnote>
  <w:footnote w:id="67"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11691)،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وأبويعلى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1374)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طوبى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احتراق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(319).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التقريـب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(201):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(18/211)،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(16/442-443)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طوبى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حوشب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ومغيث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(6/437-441).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(4/328).</w:t>
      </w:r>
    </w:p>
  </w:footnote>
  <w:footnote w:id="69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(16/438)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(4/644).</w:t>
      </w:r>
    </w:p>
  </w:footnote>
  <w:footnote w:id="70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(33).</w:t>
      </w:r>
    </w:p>
  </w:footnote>
  <w:footnote w:id="71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(57/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3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4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وتمزقت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5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(2/724).</w:t>
      </w:r>
    </w:p>
  </w:footnote>
  <w:footnote w:id="76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7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8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(37).</w:t>
      </w:r>
    </w:p>
  </w:footnote>
  <w:footnote w:id="79"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0"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1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(3/148).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2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ورياستهم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والسقاية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والرفادة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والندوة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الندوة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بالحجون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(5/198).</w:t>
      </w:r>
    </w:p>
  </w:footnote>
  <w:footnote w:id="83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النـزول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(3/352).</w:t>
      </w:r>
    </w:p>
  </w:footnote>
  <w:footnote w:id="84"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5"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6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متروكا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</w:footnote>
  <w:footnote w:id="87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(58/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88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(16/451)،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(3/149).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المعجمة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ضبطها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(58/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والقاموس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نخع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(2/294).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كهلان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منازلهم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انتقلوا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وانتشر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(204).</w:t>
      </w:r>
    </w:p>
  </w:footnote>
  <w:footnote w:id="89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بالمثلثة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مصغرا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وضبطه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مخضرم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1409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يأسرونني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(6/260)،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ييسرونني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ييسرونني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يقتسمونني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ويجعلونني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يأسرونني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ييسرونني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فضربوا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يتحاسبون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قسمة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آبائه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(16/450):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1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2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3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(36).</w:t>
      </w:r>
    </w:p>
  </w:footnote>
  <w:footnote w:id="94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95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(3/353).</w:t>
      </w:r>
    </w:p>
  </w:footnote>
  <w:footnote w:id="96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97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كراهية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2503)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التغليظ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(2/923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2762)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والدارمي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2418)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8"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(5/72).</w:t>
      </w:r>
    </w:p>
  </w:footnote>
  <w:footnote w:id="99"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(5/223)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(4/246).</w:t>
      </w:r>
    </w:p>
  </w:footnote>
  <w:footnote w:id="100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1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للنابغة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(383).</w:t>
      </w:r>
    </w:p>
  </w:footnote>
  <w:footnote w:id="102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(16/459-460)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القارعة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03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4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(16/456-459)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(1/2/337)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5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المذكورين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آنفا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6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7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8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(16/460)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(4/332).</w:t>
      </w:r>
    </w:p>
  </w:footnote>
  <w:footnote w:id="109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0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وصاحبه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الطفيل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الرعد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2.png"/><Relationship Id="rId22" Type="http://schemas.openxmlformats.org/officeDocument/2006/relationships/image" Target="media/image4.png"/><Relationship Id="rId21" Type="http://schemas.openxmlformats.org/officeDocument/2006/relationships/image" Target="media/image36.png"/><Relationship Id="rId24" Type="http://schemas.openxmlformats.org/officeDocument/2006/relationships/image" Target="media/image8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8.png"/><Relationship Id="rId26" Type="http://schemas.openxmlformats.org/officeDocument/2006/relationships/image" Target="media/image2.png"/><Relationship Id="rId25" Type="http://schemas.openxmlformats.org/officeDocument/2006/relationships/image" Target="media/image10.png"/><Relationship Id="rId28" Type="http://schemas.openxmlformats.org/officeDocument/2006/relationships/footer" Target="footer1.xml"/><Relationship Id="rId27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footer" Target="footer2.xml"/><Relationship Id="rId7" Type="http://schemas.openxmlformats.org/officeDocument/2006/relationships/image" Target="media/image28.png"/><Relationship Id="rId8" Type="http://schemas.openxmlformats.org/officeDocument/2006/relationships/image" Target="media/image24.png"/><Relationship Id="rId11" Type="http://schemas.openxmlformats.org/officeDocument/2006/relationships/image" Target="media/image18.png"/><Relationship Id="rId10" Type="http://schemas.openxmlformats.org/officeDocument/2006/relationships/image" Target="media/image34.png"/><Relationship Id="rId13" Type="http://schemas.openxmlformats.org/officeDocument/2006/relationships/image" Target="media/image22.png"/><Relationship Id="rId12" Type="http://schemas.openxmlformats.org/officeDocument/2006/relationships/image" Target="media/image16.png"/><Relationship Id="rId15" Type="http://schemas.openxmlformats.org/officeDocument/2006/relationships/image" Target="media/image14.png"/><Relationship Id="rId14" Type="http://schemas.openxmlformats.org/officeDocument/2006/relationships/image" Target="media/image20.png"/><Relationship Id="rId17" Type="http://schemas.openxmlformats.org/officeDocument/2006/relationships/image" Target="media/image40.png"/><Relationship Id="rId16" Type="http://schemas.openxmlformats.org/officeDocument/2006/relationships/image" Target="media/image12.png"/><Relationship Id="rId19" Type="http://schemas.openxmlformats.org/officeDocument/2006/relationships/image" Target="media/image30.png"/><Relationship Id="rId18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