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40"/>
          <w:szCs w:val="40"/>
          <w:rtl w:val="1"/>
        </w:rPr>
        <w:t xml:space="preserve">دراسة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أبرز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التفاسير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ويشتمل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تمهيد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وأربعة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مطالب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مجاز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عبيدة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العسكري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المطلب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التستري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contextualSpacing w:val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فرات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>
          <w:color w:val="000000"/>
        </w:rPr>
      </w:pPr>
      <w:r w:rsidDel="00000000" w:rsidR="00000000" w:rsidRPr="00000000">
        <w:rPr>
          <w:color w:val="000000"/>
          <w:sz w:val="72"/>
          <w:szCs w:val="72"/>
          <w:rtl w:val="0"/>
        </w:rPr>
        <w:t xml:space="preserve">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لقلتها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ولفقدان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الزملاء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والرابع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الهجريين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والأخفش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والطبري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 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ويلاحظ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معدود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مفسري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( 310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أغفلت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المدرسة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وبعضهم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تفاسير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مطبوعة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bidi w:val="1"/>
        <w:spacing w:before="120" w:lineRule="auto"/>
        <w:ind w:left="720" w:hanging="36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المعلوم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تنقسم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قسمين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وغريبه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والرسالة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التفاسير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واكتفت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السابقة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تناولت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الفراء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والأخفش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قتيبة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والطبري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فسأكتفي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أوردته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السابق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وأركز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مجاز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عبيدة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التعريف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بالكتاب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خفاء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ء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وس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الش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استخدم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المقايسة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مزاياه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ر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ض</w:t>
      </w:r>
      <w:r w:rsidDel="00000000" w:rsidR="00000000" w:rsidRPr="00000000">
        <w:rPr>
          <w:sz w:val="24"/>
          <w:szCs w:val="24"/>
          <w:rtl w:val="1"/>
        </w:rPr>
        <w:t xml:space="preserve">ِ</w:t>
      </w:r>
      <w:r w:rsidDel="00000000" w:rsidR="00000000" w:rsidRPr="00000000">
        <w:rPr>
          <w:sz w:val="24"/>
          <w:szCs w:val="24"/>
          <w:rtl w:val="1"/>
        </w:rPr>
        <w:t xml:space="preserve">ي</w:t>
      </w:r>
      <w:r w:rsidDel="00000000" w:rsidR="00000000" w:rsidRPr="00000000">
        <w:rPr>
          <w:sz w:val="24"/>
          <w:szCs w:val="24"/>
          <w:rtl w:val="1"/>
        </w:rPr>
        <w:t xml:space="preserve">َ </w:t>
      </w:r>
      <w:r w:rsidDel="00000000" w:rsidR="00000000" w:rsidRPr="00000000">
        <w:rPr>
          <w:sz w:val="24"/>
          <w:szCs w:val="24"/>
          <w:rtl w:val="1"/>
        </w:rPr>
        <w:t xml:space="preserve">الله</w:t>
      </w:r>
      <w:r w:rsidDel="00000000" w:rsidR="00000000" w:rsidRPr="00000000">
        <w:rPr>
          <w:sz w:val="24"/>
          <w:szCs w:val="24"/>
          <w:rtl w:val="1"/>
        </w:rPr>
        <w:t xml:space="preserve">ُ </w:t>
      </w:r>
      <w:r w:rsidDel="00000000" w:rsidR="00000000" w:rsidRPr="00000000">
        <w:rPr>
          <w:sz w:val="24"/>
          <w:szCs w:val="24"/>
          <w:rtl w:val="1"/>
        </w:rPr>
        <w:t xml:space="preserve">ع</w:t>
      </w:r>
      <w:r w:rsidDel="00000000" w:rsidR="00000000" w:rsidRPr="00000000">
        <w:rPr>
          <w:sz w:val="24"/>
          <w:szCs w:val="24"/>
          <w:rtl w:val="1"/>
        </w:rPr>
        <w:t xml:space="preserve">َ</w:t>
      </w:r>
      <w:r w:rsidDel="00000000" w:rsidR="00000000" w:rsidRPr="00000000">
        <w:rPr>
          <w:sz w:val="24"/>
          <w:szCs w:val="24"/>
          <w:rtl w:val="1"/>
        </w:rPr>
        <w:t xml:space="preserve">ن</w:t>
      </w:r>
      <w:r w:rsidDel="00000000" w:rsidR="00000000" w:rsidRPr="00000000">
        <w:rPr>
          <w:sz w:val="24"/>
          <w:szCs w:val="24"/>
          <w:rtl w:val="1"/>
        </w:rPr>
        <w:t xml:space="preserve">ْ</w:t>
      </w:r>
      <w:r w:rsidDel="00000000" w:rsidR="00000000" w:rsidRPr="00000000">
        <w:rPr>
          <w:sz w:val="24"/>
          <w:szCs w:val="24"/>
          <w:rtl w:val="1"/>
        </w:rPr>
        <w:t xml:space="preserve">ه</w:t>
      </w:r>
      <w:r w:rsidDel="00000000" w:rsidR="00000000" w:rsidRPr="00000000">
        <w:rPr>
          <w:sz w:val="24"/>
          <w:szCs w:val="24"/>
          <w:rtl w:val="1"/>
        </w:rPr>
        <w:t xml:space="preserve">ُ</w:t>
      </w:r>
      <w:r w:rsidDel="00000000" w:rsidR="00000000" w:rsidRPr="00000000">
        <w:rPr>
          <w:sz w:val="24"/>
          <w:szCs w:val="24"/>
          <w:rtl w:val="1"/>
        </w:rPr>
        <w:t xml:space="preserve">ما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ـ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اشتبه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فاطلبوه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دعوة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حافزا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ياقوت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عبيدة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المثن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الجاحظ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المعتز</w:t>
      </w:r>
      <w:r w:rsidDel="00000000" w:rsidR="00000000" w:rsidRPr="00000000">
        <w:rPr>
          <w:rtl w:val="1"/>
        </w:rPr>
        <w:t xml:space="preserve">ّ" 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"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 "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الجرجاني</w:t>
      </w:r>
      <w:r w:rsidDel="00000000" w:rsidR="00000000" w:rsidRPr="00000000">
        <w:rPr>
          <w:rtl w:val="1"/>
        </w:rPr>
        <w:t xml:space="preserve">"، </w:t>
      </w:r>
      <w:r w:rsidDel="00000000" w:rsidR="00000000" w:rsidRPr="00000000">
        <w:rPr>
          <w:rtl w:val="1"/>
        </w:rPr>
        <w:t xml:space="preserve">فاحكم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أساسه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بنيانه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وأسهمت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تشكيل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رؤيته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النقدية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رؤية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تعتمد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خصوصية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بالإضافة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استغلاق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أفهام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ولاسيما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وظهور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قضية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اللحن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وحارب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يلحظون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التطور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يهمهم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يسجلوه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ويقارنوا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ويعيبوه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ويحاولوا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إرجاع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 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الأسلوبية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تفصل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والبلاغة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التكرار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الإيقاعية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والموسيقية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والاستعارة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والرمز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والصورة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ويبدو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بالأساليب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والتراكيب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المتقدمون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مقاصدهم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وأغراضهم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وتأخير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نحو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يسعى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التأكيد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انطلاقا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لصيغ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الض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لالة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إعمال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هدى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فريقا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يدخل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يشاء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رحمته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والظالمين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أعد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عذابا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أليما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مذكرا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فرقوا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المؤنثة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لقولهم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يسعى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إخراج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مخرجا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يتعارض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يوظف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حريص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يدفعنا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متميزة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تتماشى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والطرق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القدماء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تيمية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تكلم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المثنى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الحقيقة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حريصا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التنويع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نماذج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ألوانا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متنوعة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الصياغة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تشمل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دراسة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الأساليب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ودفعه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استعارة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وتشبيه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وكناية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وتقديم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وتأخير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وحذف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وتكرار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وإضمار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للوصول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الخصائص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الأسلوبية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والتمثيل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للنصوص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تخلو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صفحاته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مأثور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ويبدو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حاجة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الجمهور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خصوصية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أولئك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فكاتب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المتعربين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يدركون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عرفوا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مفرداته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وأساليبه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الشائعة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التركيب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والقواعد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أساسها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تعتمد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جماليات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الأسلوب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بالاستعانة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بأدوات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مساعدة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وتستند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يتدرج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مدارجه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التنظير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الاحتكام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مبدئي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رصيد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فلسفي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منطق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مذهبي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مضمون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حضاري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والمدرج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المواصفة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يتناول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ترتيبها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ويعرض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تحتاج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حريصا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ويبدو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سائر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قرآنا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فيضمها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ثناؤه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ات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فضممناه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وضمه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كلثوم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جنينا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تضم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</w:p>
    <w:p w:rsidR="00000000" w:rsidDel="00000000" w:rsidP="00000000" w:rsidRDefault="00000000" w:rsidRPr="00000000" w14:paraId="0000004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تلوت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وينض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ومعناه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فرقانا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يفرق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والباطل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والكافر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وخرج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تقديره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تقرير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قنعان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الخصمان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المختلفان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بحكمة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ويقنعان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نجد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غطي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جوانبه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الدلالية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المعجمية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الدلالة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السياقية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ليعلل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واعتمد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تراكيب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بالإضافة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ليؤدي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المشترك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التطور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دخولها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لتشمله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ويشملها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خصائص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الموضوعي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بالتحول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أصاب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دخولها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والوقوف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دلالاتها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السياقية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تسمح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المعالجة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الكريمة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واش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قلبهم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المختصر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وأشربوا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قلوبهم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         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القرية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مجازها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النابغة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الذبياني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قعقع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ِّ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أضمر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يقعقع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.."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</w:p>
    <w:p w:rsidR="00000000" w:rsidDel="00000000" w:rsidP="00000000" w:rsidRDefault="00000000" w:rsidRPr="00000000" w14:paraId="0000004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هاهنا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يدخل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صميم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المرسل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النابغة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ويحيلنا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مبدأ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ناموس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يسمح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بالابتعاد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يسعى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الاستعمال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الطاقة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الإبداعية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متولدة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توقعه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اضطراب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يصبح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جديدا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حاق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ئن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ثقيف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يدعوهم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ٍ،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ناداهم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فرماه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فقتله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استدلالته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التابعين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الأو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حجرة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ولأبيات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الحجرات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ولبنى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هاشم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نادوه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وأكثرهم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تميم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يعقلون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استدلالته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الكافرون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تعبدون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أجيبكم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بقى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تعبدون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عابدون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التمثيل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الكافرين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دعوا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آلهتهم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ويعبدون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ويؤمنون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مضى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تعبدون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عابدون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الجاهلية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والإسلام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المذاهب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بالمسائل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النحوية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ير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مجازه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وجهين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يظهرون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كناية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إظهار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والهذلي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راغيث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ُ). 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فتستأنف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للكناية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مرفوع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فرفعت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مرفوع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الاستئناف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انقطع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للشمس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وللقمر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التنوين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الكناية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مرفوع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يأمره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يعملوا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فينصبونه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أمثال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وأشعارهم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الضابط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يعتمد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إقرار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حقائق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المقدس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حمولة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"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سألتموني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غريب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فالتمسوه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الشعر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ليخدم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مفهوم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بدراسة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تأويل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نصوصه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الكشف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والاستشهادات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تبيان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يهمزها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وبعضهم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يهمزها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يهمزها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يجعل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مجازها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كمجاز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النابغة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الذبياني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أعطاك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يتذبذب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منزلة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ارتفعت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منازل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الملوك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يهمزها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مفتوحة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يقرأن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ونحو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جميعا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البناء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ساكنة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contextualSpacing w:val="0"/>
        <w:jc w:val="center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رادق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محجور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ff0000"/>
          <w:rtl w:val="0"/>
        </w:rPr>
        <w:t xml:space="preserve">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8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الروايات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هارون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نجاني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امتاز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6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</w:t>
      </w:r>
    </w:p>
    <w:p w:rsidR="00000000" w:rsidDel="00000000" w:rsidP="00000000" w:rsidRDefault="00000000" w:rsidRPr="00000000" w14:paraId="0000006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أرجأت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المتقدمين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شيعيين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ترجمته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6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الجواد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الهاشمي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المنورة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( 232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سادس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( 231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وأمه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ولد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انتقل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الهادي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مدينة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أشخص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وأقام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وتسعة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وولده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6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وانتقلت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بحسب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الامامي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الصالح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تقى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ونسكا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بسامراء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لثمان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( 260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وشيعته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سامراء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بأجمعها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ودفن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وقبره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يزار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6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التعريف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7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</w:rPr>
      </w:pP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نشر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التفسير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بإيران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وصدر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بالوصف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الآتي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: (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التفسير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المنسوب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أبي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الحسن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علي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العسكري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) ،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وهذه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العبارة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توحي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بعدم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الجزم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بصحة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نسبة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التفسير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الحسن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العسكري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ويدل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عدة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أمور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:</w:t>
      </w:r>
    </w:p>
    <w:p w:rsidR="00000000" w:rsidDel="00000000" w:rsidP="00000000" w:rsidRDefault="00000000" w:rsidRPr="00000000" w14:paraId="0000007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يشر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أحد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المؤرخين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المتقدمين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الإطلاق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ذكره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صاحب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الذريعة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متقدم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: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إملائه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وعشرين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آشوب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تقييد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والظاهر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الملقب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بصاحب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البرقى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والثقة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بتصريح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النجاشي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والمؤلف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للنوادر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وحاول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الطهراني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ممكنة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ترجيح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احتمال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دأب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المؤلفين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يحاولون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إثبات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الإقرار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نقيصة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إثبات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إلحاق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إلحاقه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اشتماله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ينبئ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فضيلة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ظاهر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يطالع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7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المناسب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هناك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395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تشابه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7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7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 ( 260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آشوب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( 588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ويحتمل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إشارة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7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محققي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يقطعا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بنسبة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منسوب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العسكري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صرح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المحقق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خاتمة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أورده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آشوب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وحققته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حواشي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كتابي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النجاشي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البرقي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البرقي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البرقي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78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وآداب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قراءته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ويتداخل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وفضائل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الشيعة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7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منهجا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محددا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ينتقي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أجزاء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ويفسرها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وحكايات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القصد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الرئيس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إثبات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وبنوه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المداينة</w:t>
      </w:r>
      <w:r w:rsidDel="00000000" w:rsidR="00000000" w:rsidRPr="00000000">
        <w:rPr>
          <w:rtl w:val="1"/>
        </w:rPr>
        <w:t xml:space="preserve"> ( 282 )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البقرة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7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ولتسليط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الضوء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7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7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الإمام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الرضا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أخبرني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قوله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تفسيره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لقد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حدثني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أبي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جدي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الباقر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زين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العابدين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رجلا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أخبرني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قوله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تفسيره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عرف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عباده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بعض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نعمه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ً،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إذ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يقدرون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معرفة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بالتفصيل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لأنها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أكثر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تحصى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تعرف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قولوا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أنعم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7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الجماعات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مخلوق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الجمادات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والحيوانات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الحيوانات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يقلبها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قدرته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ويغذوها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رزقه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ويحوطها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بكنفه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ويدبر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بمصلحته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الجمادات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فهو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يمسكها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بقدرته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يمسك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اتصل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يتهافت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ويمسك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المتهافت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يتلاصق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ويمسك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السماء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تقع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الأرض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بإذنه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ويمسك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الأرض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تنخسف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بأمره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بعباده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رؤوف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رحيم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8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مالكهم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وخالقهم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وسائق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أرزاقهم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إليهم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يعلمون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حيث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يعلمون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فالرزق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مقسوم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يأتي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ابن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آدم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سيرة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سارها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الدنيا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ليس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لتقوى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متق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بزائده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لفجور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فاجر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بناقصه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وبينه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وبينه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ستر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وهو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طالبه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ولو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أحدكم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يفر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رزقه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لطلبه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رزقه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يطلبه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الموت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8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المؤمنين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السلام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قولوا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أنعم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وذكرنا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خير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كتب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الأولين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نكون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إيجاب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فضله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وفضلهم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شيعتهم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يشكروه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فضلهم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غيرهم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 .</w:t>
      </w:r>
    </w:p>
    <w:p w:rsidR="00000000" w:rsidDel="00000000" w:rsidP="00000000" w:rsidRDefault="00000000" w:rsidRPr="00000000" w14:paraId="00000082">
      <w:pPr>
        <w:widowControl w:val="0"/>
        <w:bidi w:val="1"/>
        <w:spacing w:before="120" w:lineRule="auto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تفضيل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امة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1"/>
          <w:color w:val="000000"/>
          <w:rtl w:val="1"/>
        </w:rPr>
        <w:t xml:space="preserve">الأمم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8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وذلك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رسول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بعث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عمران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واصطفاه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نجيا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وفلق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البحر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فنجى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إسرائيل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وأعطاه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التوراة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والألواح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رأى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مكانه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لقد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أكرمتني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بكرامة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تكرم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أحدا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ً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قبلي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علمت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ح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َ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َّ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ً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عندي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ملائكتي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خلقي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أكرم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عندك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خلقك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فهل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أكرم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8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علمت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النبيين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المرسلين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عندك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كذلك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فهل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صحابة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أكرم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عندك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صحابتي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8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علمت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صحابة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صحابة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المرسلين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النبيين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وكفضل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المرسلين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وصحبه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وصفت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فهل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عندك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ظللت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الغمام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وأنزلت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والسلوى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وفلقت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البحر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8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علمت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فضل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الأمم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كفضلي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جميع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خلقي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ليتني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كنت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أراهم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فأوحى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إنك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تراهم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فليس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أوان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ظهورهم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ولكن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سوف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تراهم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الجنة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جنات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عدن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والفردوس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بحضرة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نعيمها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يتقلبون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خيراتها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يتبحبحون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أفتحب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أسمعك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كلامهم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؟</w:t>
      </w:r>
    </w:p>
    <w:p w:rsidR="00000000" w:rsidDel="00000000" w:rsidP="00000000" w:rsidRDefault="00000000" w:rsidRPr="00000000" w14:paraId="0000008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نعم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إلهي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نداء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سبحانه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وتعالى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وجلاله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يدي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واشدد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مئزرك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قيام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العبد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الذليل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يدي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السيد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الجليل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ففعل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ذلك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موسى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فنادى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فأجابوه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أصلاب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آبائهم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وأرحام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أمهاتهم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"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لبيك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لبيك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لبيك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شريك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لبيك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والنعمة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والملك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شريك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لبيك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".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فجعل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تعالى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تلك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الإجابة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منهم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شعار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الحج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8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نادى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قضائي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عليكم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رحمتي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سبقت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غضبي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وعفوي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عقابي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فقد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استجبت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لكم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تدعوني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وأعطيتكم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قبل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تسألوني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لقيني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منكم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بشهادة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وحده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شريك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عبده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ورسوله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صادق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أقواله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محق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أفعاله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أبي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طالب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أخوه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ووصيه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بعده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ووليه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يلتزم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طاعته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يلتزم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طاعة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أولياءه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المصطفين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الأخيار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المطهرين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المباينين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بعجائب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آيات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ودلائل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حجج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بعدهما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أولياؤه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أدخلته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جنتي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كانت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ذنوبه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مثل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زبد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البحر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8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فلما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بعث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نبينا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الط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ور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أمتك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بهذه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الكرامة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ثم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عز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وجل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لمحمد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صلى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عليه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وآله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العالمين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اختصني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الفضيلة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.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وقال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لامته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قولوا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أنتم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: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الحمد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لله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رب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العالمين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اختصنا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به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هذه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الفضائل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8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Traditional Arabic" w:cs="Traditional Arabic" w:eastAsia="Traditional Arabic" w:hAnsi="Traditional Arabic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وقد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يبدو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هنا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إسهاب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وإطناب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في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تفسير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الآيات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وعلى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سيكون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التفسير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كبيرا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ً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ولكن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الحقيقة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أغلب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الآيات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لم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يجر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تفسيرها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،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وكذا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عدد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كبير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من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السور</w:t>
      </w:r>
      <w:r w:rsidDel="00000000" w:rsidR="00000000" w:rsidRPr="00000000">
        <w:rPr>
          <w:rFonts w:ascii="Traditional Arabic" w:cs="Traditional Arabic" w:eastAsia="Traditional Arabic" w:hAnsi="Traditional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8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8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بآية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الاستشهاد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8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بايعوا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المنافقين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بيعته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ويستلقي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أولئك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المؤمنون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فرشهم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مجالسهم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يضحكون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مستهزئين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ز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ئ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(34)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ائ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8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استشهد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الأحاديث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للمنافقين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حضور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ٌّ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9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ومفاد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بحسب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زعمهم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وبنيه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جهنم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موضوعة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المعتبرة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9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جار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أوردها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المحدثين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9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ذهبت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أباطيل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ومنكرات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9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لاحظنا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ً : </w:t>
      </w:r>
    </w:p>
    <w:p w:rsidR="00000000" w:rsidDel="00000000" w:rsidP="00000000" w:rsidRDefault="00000000" w:rsidRPr="00000000" w14:paraId="0000009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اب</w:t>
      </w:r>
      <w:r w:rsidDel="00000000" w:rsidR="00000000" w:rsidRPr="00000000">
        <w:rPr>
          <w:b w:val="1"/>
          <w:rtl w:val="1"/>
        </w:rPr>
        <w:t xml:space="preserve">ٌ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ٌ</w:t>
      </w:r>
      <w:r w:rsidDel="00000000" w:rsidR="00000000" w:rsidRPr="00000000">
        <w:rPr>
          <w:rtl w:val="0"/>
        </w:rPr>
        <w:t xml:space="preserve"> 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bidi w:val="1"/>
        <w:spacing w:before="120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موسى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اللفظة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ألفاظ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يخاطبون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إرع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أحوالنا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لغة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معناها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اليهود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المسلمين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يخاطبون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ويخاطبون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فتعالوا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نشتمه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يخاطبون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ويقولون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راعنا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ويريدون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شتمه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ففطن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الأنصاري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أعداء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تريدون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وتوهمونا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تجرون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مخاطبته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مجرانا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ضربت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التقدم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والاستئذان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ولأخيه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ووصيه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بأمور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نائبا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لضربت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سمعته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اد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اض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ط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ظ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خ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الل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ُ 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ك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ؤ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يلا</w:t>
      </w:r>
      <w:r w:rsidDel="00000000" w:rsidR="00000000" w:rsidRPr="00000000">
        <w:rPr>
          <w:b w:val="1"/>
          <w:rtl w:val="1"/>
        </w:rPr>
        <w:t xml:space="preserve">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ُّ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آ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ول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وا</w:t>
      </w:r>
      <w:r w:rsidDel="00000000" w:rsidR="00000000" w:rsidRPr="00000000">
        <w:rPr>
          <w:b w:val="1"/>
          <w:rtl w:val="1"/>
        </w:rPr>
        <w:t xml:space="preserve">            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اع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"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المعزز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بالدليل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بالأسانيد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مقطوعة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دأبه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التفسيرية</w:t>
      </w:r>
      <w:r w:rsidDel="00000000" w:rsidR="00000000" w:rsidRPr="00000000">
        <w:rPr>
          <w:rtl w:val="1"/>
        </w:rPr>
        <w:t xml:space="preserve">           ( </w:t>
      </w:r>
      <w:r w:rsidDel="00000000" w:rsidR="00000000" w:rsidRPr="00000000">
        <w:rPr>
          <w:rtl w:val="1"/>
        </w:rPr>
        <w:t xml:space="preserve">الانصراف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كليا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. </w:t>
      </w:r>
    </w:p>
    <w:p w:rsidR="00000000" w:rsidDel="00000000" w:rsidP="00000000" w:rsidRDefault="00000000" w:rsidRPr="00000000" w14:paraId="0000009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التذرع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الحكايات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معتقد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خالد</w:t>
      </w:r>
      <w:r w:rsidDel="00000000" w:rsidR="00000000" w:rsidRPr="00000000">
        <w:rPr>
          <w:rtl w:val="1"/>
        </w:rPr>
        <w:t xml:space="preserve">             </w:t>
      </w:r>
      <w:r w:rsidDel="00000000" w:rsidR="00000000" w:rsidRPr="00000000">
        <w:rPr>
          <w:rtl w:val="1"/>
        </w:rPr>
        <w:t xml:space="preserve">البرقي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العسكري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مرويات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رائحة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وسلوكهم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9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A8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التستري</w:t>
      </w:r>
    </w:p>
    <w:p w:rsidR="00000000" w:rsidDel="00000000" w:rsidP="00000000" w:rsidRDefault="00000000" w:rsidRPr="00000000" w14:paraId="000000A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التستري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يتبادر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الصوفية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المعتادة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معظم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وجيز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AA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التستري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وأجاب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يضم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فسرت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2 ، 4 ، 5 .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آياتها</w:t>
      </w:r>
      <w:r w:rsidDel="00000000" w:rsidR="00000000" w:rsidRPr="00000000">
        <w:rPr>
          <w:rtl w:val="1"/>
        </w:rPr>
        <w:t xml:space="preserve"> ( 88 ) </w:t>
      </w:r>
      <w:r w:rsidDel="00000000" w:rsidR="00000000" w:rsidRPr="00000000">
        <w:rPr>
          <w:rtl w:val="1"/>
        </w:rPr>
        <w:t xml:space="preserve">آية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فسرت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الآيات</w:t>
      </w:r>
      <w:r w:rsidDel="00000000" w:rsidR="00000000" w:rsidRPr="00000000">
        <w:rPr>
          <w:rtl w:val="1"/>
        </w:rPr>
        <w:t xml:space="preserve"> : 1 ، 6 ، 20 ، 24 ، 26 ، 32 ، 35 ، 46 . </w:t>
      </w:r>
    </w:p>
    <w:p w:rsidR="00000000" w:rsidDel="00000000" w:rsidP="00000000" w:rsidRDefault="00000000" w:rsidRPr="00000000" w14:paraId="000000A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والمنهج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A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التفويض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السؤال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تتلوه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الإجابة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80"/>
          <w:rtl w:val="0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البر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تبلغوا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التقوى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تحاربوا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أنفسكم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فتنفقوا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تحبون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إنفاق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كإنفاق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النفس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مخالفتها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مرضاة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بثلاثة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أبدانهم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وتغيرت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ألوانهم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خالقنا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والحذر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عقوبة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عصياننا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الخائف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فجاوزهم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يعطيكم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رجوتم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فجاوزهم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نحولا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وجوههم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البدور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المقربون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ثلاثا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تسارع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التوابين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المشتاقين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الثالثة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اتفقوا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وأعرضوا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بالمأثور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B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بآية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B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B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فالشكر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والطاعة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والذين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بالتبري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B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بأكثر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B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"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كلفتنا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وإليك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المشيئة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والإرادة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والإخلاص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بالمعونة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والتسديد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B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هدانا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الصراط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المستقيم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</w:p>
    <w:p w:rsidR="00000000" w:rsidDel="00000000" w:rsidP="00000000" w:rsidRDefault="00000000" w:rsidRPr="00000000" w14:paraId="000000B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الزيادة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ٌ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اهدنا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أمددنا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بالمعونة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والتمكين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B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اهدنا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أرشدنا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الطريق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بمعونة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البصيرة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نهتدي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عسى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السبيل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يرشدني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قصد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الطريق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B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فادارأتم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تنازعتم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توبيخ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آبائهم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يقتل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المخاطبون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وقتهم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فواجههم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بفعل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فوقهم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واجه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خاطب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ياأيها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النسآء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*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النبإ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العظيم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تسألون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B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بالحديث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B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الفاتحة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B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وسمعت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يحكي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سفيان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ثوبان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قسمت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نصفين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فنصفها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ونصفها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العالمين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حمدني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الرحمن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الرحيم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أثنى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          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اهدنا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الصراط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المستقيم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آخره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سأل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 .</w:t>
      </w:r>
    </w:p>
    <w:p w:rsidR="00000000" w:rsidDel="00000000" w:rsidP="00000000" w:rsidRDefault="00000000" w:rsidRPr="00000000" w14:paraId="000000B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معنى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مجدني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بكثرة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الإحسان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والإنعام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B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الصحابة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C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بأقوال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الصحابة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C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حسدتكم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النصارى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حسدتكم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جابر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استقيموا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تحصوا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واعلموا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أعمالكم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يحافظ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الوضوء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مؤمن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الضالين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فقولوا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يرضى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قائلها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ويجيب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دعاءه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وحكى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الزهري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هريرة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»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الضالين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تأمينه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الملائكة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ذنبه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مجاهد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آمين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C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ؤ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ث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سعيد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حكمة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فكأنما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أدرجت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النبوة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جنبيه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يوحى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يحاسب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حساب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الأنبياء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تبليغ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الرسالة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C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ز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الحفدة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الأختان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الصغار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والحفدة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يعينون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الحفدة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الخدمة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إيجابا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سؤال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C4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بدلالة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أقوال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التابعين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الشواهد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ورا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الضحاك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الآخر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صحيفة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وأثره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يصعد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الصحيفة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المكتوبة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عارضني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فيعارضه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يخطئ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ٌّ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آئ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والمحروم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طلبها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يطلبها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البصري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ليعزم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يردوا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سائلا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أدركت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ليخلف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أربعين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يبتلون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بالسائل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الجن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الإنس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قبلكم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يأخذون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بلاغا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ويبتاعون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أنفسهم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رحم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امرأ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العيش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عيشا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كسرة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ولبس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ولزق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واجتهد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العبادة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وبكى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الخطيئة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العقوبة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وابتغى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الرحمة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يأتي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أجله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بالقراءات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التفسير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يشهد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الاستدلال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بالقراءات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الص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ذ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َّ         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يلا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الصافات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رأيت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جزاءهم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عظيما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فسمى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تعظيم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عجبا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المتعجب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يتعجب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بلغ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نهايته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حكي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شقيقا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»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     «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 »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يعجب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شقيق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فأخبرت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شريحا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يعجبه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مسعود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يقرأ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ُ »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بالضم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النزول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الاستدلالات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بأسباب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النزول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C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آء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الفتح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أفضل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الدينين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وأرضاهما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لديك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وا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تستنصرون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C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الكوثر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بمكة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وإبراهيم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بالمدينة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أصبح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أبتر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فغاظه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الكوثر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نعزيه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ونعوضه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الكوثر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الحوض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تسقي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شئت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بإذني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وتمنع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شئت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بإذني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4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الاستدلال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بالقصص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الإسرائيليات</w:t>
      </w:r>
      <w:r w:rsidDel="00000000" w:rsidR="00000000" w:rsidRPr="00000000">
        <w:rPr>
          <w:b w:val="1"/>
          <w:rtl w:val="1"/>
        </w:rPr>
        <w:t xml:space="preserve"> 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C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بالإسرائيليات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فائدة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CF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الروايات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D0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سبق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التستري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بسنده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المحدثون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D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متداولة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يروها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المحدثون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D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وسئل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فتلقى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آد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ٍ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اب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[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تلقاها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؟ </w:t>
      </w:r>
    </w:p>
    <w:p w:rsidR="00000000" w:rsidDel="00000000" w:rsidP="00000000" w:rsidRDefault="00000000" w:rsidRPr="00000000" w14:paraId="000000D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أخبرني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الثوري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عبدالله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صلوات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خطيئته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أرأيت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معصيت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عصيت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تخلقني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ابتدعته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</w:p>
    <w:p w:rsidR="00000000" w:rsidDel="00000000" w:rsidP="00000000" w:rsidRDefault="00000000" w:rsidRPr="00000000" w14:paraId="000000D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إنك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ستفعله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بترك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العصمة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أخلقك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بخمسين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صلوات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فاغفر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الصنعاني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والطبري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حاتم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0D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يستدل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0D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الخصام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شديد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الخصومة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بالباطل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عائشة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رضي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أبغض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الرجال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ُّ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 »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تعالى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الملإ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إ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ائ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هؤلاء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الرؤساء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قتلنا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عجائز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صلعا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«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أولئك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الملأ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قريش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»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الأشراف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والسادات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D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الإسناد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مرسلا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0D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وتعليق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الحافظ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الذهبي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التلخيص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صحيح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يناقش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الفقهية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للمذاهب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المختلفة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وأشعارهم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D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ط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ع</w:t>
      </w:r>
    </w:p>
    <w:p w:rsidR="00000000" w:rsidDel="00000000" w:rsidP="00000000" w:rsidRDefault="00000000" w:rsidRPr="00000000" w14:paraId="000000EB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فرات</w:t>
      </w:r>
    </w:p>
    <w:p w:rsidR="00000000" w:rsidDel="00000000" w:rsidP="00000000" w:rsidRDefault="00000000" w:rsidRPr="00000000" w14:paraId="000000E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أرجأت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صاحب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المبحث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استشهاد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المفسرين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المتقدمين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ٍّ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ومروياته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موضعين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</w:p>
    <w:p w:rsidR="00000000" w:rsidDel="00000000" w:rsidP="00000000" w:rsidRDefault="00000000" w:rsidRPr="00000000" w14:paraId="000000ED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1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rtl w:val="1"/>
        </w:rPr>
        <w:t xml:space="preserve">ترجمته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:</w:t>
      </w:r>
    </w:p>
    <w:p w:rsidR="00000000" w:rsidDel="00000000" w:rsidP="00000000" w:rsidRDefault="00000000" w:rsidRPr="00000000" w14:paraId="000000E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هو</w:t>
      </w:r>
      <w:r w:rsidDel="00000000" w:rsidR="00000000" w:rsidRPr="00000000">
        <w:rPr>
          <w:rFonts w:ascii="Traditional Arabic" w:cs="Traditional Arabic" w:eastAsia="Traditional Arabic" w:hAnsi="Traditional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والمعلومات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المتوافرة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تكاد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معدومة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الكنتوري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والطهراني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المجلسي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يتعرض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الأصحاب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لمؤلفه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بمدح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قدح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أخباره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موافقا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المعتبرة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الضبط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نقلها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يعطى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الوثوق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بمؤلفه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وحسن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الظن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القول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صاحب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F1">
      <w:pPr>
        <w:widowControl w:val="0"/>
        <w:bidi w:val="1"/>
        <w:spacing w:before="120" w:line="276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الجابقلي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فرات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الشأن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يروون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للطريحي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F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البحرين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قاموس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لغوي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F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محققه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</w:t>
      </w:r>
    </w:p>
    <w:p w:rsidR="00000000" w:rsidDel="00000000" w:rsidP="00000000" w:rsidRDefault="00000000" w:rsidRPr="00000000" w14:paraId="000000F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الغيبة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الصغرى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الشيوخ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صفحات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التاريخ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بأيدينا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بقليل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التراجم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اسمه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تردد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أسانيد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وشواهد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التنزيل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والمجموعة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المعروفة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القمى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كنيته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فضل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5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يستدل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ومشايخه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يناهزون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يتجاوز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تعرفنا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العشرة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المذكورين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F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يؤكد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جهالة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الآنفة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ثنايا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لأمكن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التشكيك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شخص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مستعار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ونسبته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القاطنين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طبقة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شيوخه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والرواة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قبيلة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وعشيرة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أقرباؤه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وأصدقاؤه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اتجاهاته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المذهبية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</w:p>
    <w:p w:rsidR="00000000" w:rsidDel="00000000" w:rsidP="00000000" w:rsidRDefault="00000000" w:rsidRPr="00000000" w14:paraId="000000F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أسئلة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الأخير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ألقينا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نظرة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سريعة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واحتوائه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777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حديثا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مشايخ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جاوز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المائة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وتصفحنا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آثاره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ورواياته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الصدوق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..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لحصلنا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واضحة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تغنينا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أقوال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الأشخاص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وأخبار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الآحاد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 </w:t>
      </w:r>
    </w:p>
    <w:p w:rsidR="00000000" w:rsidDel="00000000" w:rsidP="00000000" w:rsidRDefault="00000000" w:rsidRPr="00000000" w14:paraId="000000F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فإذا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حظنا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الظروف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ونظرنا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الشخصيات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والأجواء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المعاصرة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للمؤلف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وسبرنا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ألفت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الموضوع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الروائي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لتجلت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شخصية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ومكانته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واتجاهاته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والعقائدية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فيستنتج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فالمصنف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رجلا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فاضلا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متمتعا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بأرضية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واجتماعية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مكنته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الشريف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تلميذه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العلوي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وجه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التحديد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المحدثين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زمانه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ويجهله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القاصي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والداني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؟ </w:t>
      </w:r>
    </w:p>
    <w:p w:rsidR="00000000" w:rsidDel="00000000" w:rsidP="00000000" w:rsidRDefault="00000000" w:rsidRPr="00000000" w14:paraId="000000F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ويستنتج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المحقق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الناحية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والعقائدية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متعاطفا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ومخالطا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إياهم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ومتمايلا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الأقل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يبدو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واضحا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يلاحظ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مشايخه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وأسانيده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وأحاديثه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أشبه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الزيدية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مكثرا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الصادقين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بنصوص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تؤكد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إمامتهما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وعصمتهما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المقابل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تنفي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العصمة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الخمسة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الرجالية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إماميا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تهتم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الامامية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سنيا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تهتم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الوسط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الزيدي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والزيدية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انمحت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آثارهم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وتضاءل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دورهم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المجتمع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انحصر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معينة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ونائية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الأرض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اليمن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مؤلفات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آثار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إصفهان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لعلي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مجموعة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كراسات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خطية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مجلد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محفوظة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الالهيات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بطهران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256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العاشر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المجموعة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45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-      61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پ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F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فالمحقق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تحريه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واجتهاده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معلومات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نافعة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 </w:t>
      </w:r>
    </w:p>
    <w:p w:rsidR="00000000" w:rsidDel="00000000" w:rsidP="00000000" w:rsidRDefault="00000000" w:rsidRPr="00000000" w14:paraId="000000F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فالرجل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مجهول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قومه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الصعب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التثبت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وإن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وافقت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المعتبرة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المجلسي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بتزكية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يمكن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الوقوف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الأخرى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ثم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انتحالها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أمارت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التعديل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الضبط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100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2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التعريف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101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كبير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أيدينا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محقق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مجلد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( 622 )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صفحة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102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محقق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بقوله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أمهات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المصادر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التراثية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أقدمها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يضم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دفتيه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كنوزا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الأنوار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الإلهية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والمعارف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والأمور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التاريخية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والاجتماعية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الأعم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الأغلب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يدور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الحكيم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ويتخلله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الروايات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ترتبط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وربما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جانب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ذكرت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استطرادا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وتارة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ارتباط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يذكر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103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المروي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مقدمة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التعبير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يعرف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قائله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مسامحة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جمع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المصنف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روايات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يرجع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والكتب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التفسيرية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متداولة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الأئمة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بأسانيد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مختلفة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الفئات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الإسلامية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الامامية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والزيدية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والواقفية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الفئات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يقتصر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والسلام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104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bidi w:val="1"/>
        <w:spacing w:before="120" w:lineRule="auto"/>
        <w:contextualSpacing w:val="0"/>
        <w:jc w:val="both"/>
        <w:rPr>
          <w:rFonts w:ascii="Simplified Arabic" w:cs="Simplified Arabic" w:eastAsia="Simplified Arabic" w:hAnsi="Simplified Arabic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3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المنهج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محققه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</w:t>
      </w:r>
    </w:p>
    <w:p w:rsidR="00000000" w:rsidDel="00000000" w:rsidP="00000000" w:rsidRDefault="00000000" w:rsidRPr="00000000" w14:paraId="00000107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الغالب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فأدرج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يرتبط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مراعاة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داخلي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المرتبطة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بالآية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( 274 )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خمسة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لكنها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تأت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واحد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وبالتعاقب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(2)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والثاني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( 11 )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والثالث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( 19 )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والرابع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( 25 )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والخامس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الرقم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( 28 )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وهلم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سائر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ينتهي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الأماكن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أيضا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فترى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عددا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أحاديث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المائدة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المتشابهة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النمل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والنحل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والحجر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وغيرها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الموارد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الخلط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الفظيع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؟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فأقدم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نسخة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عندنا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تعود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العاشر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الشكل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مرتبا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باقي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مثلما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108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وأعاد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المحقق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تنظيم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التسلسل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10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محذوف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محققه</w:t>
      </w:r>
      <w:r w:rsidDel="00000000" w:rsidR="00000000" w:rsidRPr="00000000">
        <w:rPr>
          <w:rtl w:val="1"/>
        </w:rPr>
        <w:t xml:space="preserve"> : "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وأما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مشكلة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حذف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ندري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متى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المؤسف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</w:p>
    <w:p w:rsidR="00000000" w:rsidDel="00000000" w:rsidP="00000000" w:rsidRDefault="00000000" w:rsidRPr="00000000" w14:paraId="0000010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ff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والمنهج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المفسر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يتخير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لديه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رواية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تشيد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بمكانة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البيت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ويذكرها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تحليل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فاتحة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(6)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     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إبراهيم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الكوفي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حدثني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كثير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مروان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عبيد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مهران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العطار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حدثنا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سدير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جعفر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يعني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وذريته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صلوات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.. </w:t>
      </w:r>
    </w:p>
    <w:p w:rsidR="00000000" w:rsidDel="00000000" w:rsidP="00000000" w:rsidRDefault="00000000" w:rsidRPr="00000000" w14:paraId="0000010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الحسين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جده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               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قوله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عز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وجل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اه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د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س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ق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يم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دين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جبرئيل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محمد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وآله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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1"/>
        </w:rPr>
        <w:t xml:space="preserve">ص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اط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ذ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ن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ض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وب</w:t>
      </w:r>
      <w:r w:rsidDel="00000000" w:rsidR="00000000" w:rsidRPr="00000000">
        <w:rPr>
          <w:b w:val="1"/>
          <w:rtl w:val="1"/>
        </w:rPr>
        <w:t xml:space="preserve">ِ </w:t>
      </w:r>
      <w:r w:rsidDel="00000000" w:rsidR="00000000" w:rsidRPr="00000000">
        <w:rPr>
          <w:b w:val="1"/>
          <w:rtl w:val="1"/>
        </w:rPr>
        <w:t xml:space="preserve">ع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ْ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الض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ِّ</w:t>
      </w:r>
      <w:r w:rsidDel="00000000" w:rsidR="00000000" w:rsidRPr="00000000">
        <w:rPr>
          <w:b w:val="1"/>
          <w:rtl w:val="1"/>
        </w:rPr>
        <w:t xml:space="preserve">ين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color w:val="000000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شيعة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أنعمت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بولاية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طالب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تغضب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عليهم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يضلوا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10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الوتيرة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جرى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الواردة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p w:rsidR="00000000" w:rsidDel="00000000" w:rsidP="00000000" w:rsidRDefault="00000000" w:rsidRPr="00000000" w14:paraId="0000010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وبغض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المحذوفة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السند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والظاهرة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الوضع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يصح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قط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؛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لأنه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تتوافر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صفات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يفسر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الكلمات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فهو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مجرد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تجميع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لمرويات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مظلمة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الأسانيد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نزلت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آيات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الكريم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287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Traditional Arabic"/>
  <w:font w:name="Calibri"/>
  <w:font w:name="AGA Arab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الهجريين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1418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1997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 </w:t>
      </w:r>
    </w:p>
  </w:footnote>
  <w:footnote w:id="2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37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51 .</w:t>
      </w:r>
    </w:p>
  </w:footnote>
  <w:footnote w:id="3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80 .</w:t>
      </w:r>
    </w:p>
  </w:footnote>
  <w:footnote w:id="4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111 .</w:t>
      </w:r>
    </w:p>
  </w:footnote>
  <w:footnote w:id="5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65 .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قضية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الإعجاز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وأثرها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تدوين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عبدالمعطي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82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ثعلب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317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وآدابه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ونقده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رشيق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الأزدي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الحميد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 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7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19/158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</w:footnote>
  <w:footnote w:id="8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والتطور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1967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32 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الاتجاه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التنوير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1 1982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100 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لأحمد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1950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49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29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30 .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31 .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بأصوله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فؤاد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سزكين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1962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1/231 .</w:t>
      </w:r>
    </w:p>
  </w:footnote>
  <w:footnote w:id="14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35 .</w:t>
      </w:r>
    </w:p>
  </w:footnote>
  <w:footnote w:id="15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الاتجاه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17 .</w:t>
      </w:r>
    </w:p>
  </w:footnote>
  <w:footnote w:id="17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18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كلثوم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كرنكو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1922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59 .</w:t>
      </w:r>
    </w:p>
  </w:footnote>
  <w:footnote w:id="19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98 .</w:t>
      </w:r>
    </w:p>
  </w:footnote>
  <w:footnote w:id="20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93 </w:t>
      </w:r>
      <w:r w:rsidDel="00000000" w:rsidR="00000000" w:rsidRPr="00000000">
        <w:rPr>
          <w:rtl w:val="0"/>
        </w:rPr>
      </w:r>
    </w:p>
  </w:footnote>
  <w:footnote w:id="22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82 .</w:t>
      </w:r>
    </w:p>
  </w:footnote>
  <w:footnote w:id="23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معاوية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ضباب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صنعة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السكيت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عاشور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.</w:t>
      </w:r>
    </w:p>
  </w:footnote>
  <w:footnote w:id="24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47.</w:t>
      </w:r>
      <w:r w:rsidDel="00000000" w:rsidR="00000000" w:rsidRPr="00000000">
        <w:rPr>
          <w:rtl w:val="0"/>
        </w:rPr>
      </w:r>
    </w:p>
  </w:footnote>
  <w:footnote w:id="25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النقد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والحداثة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المسدي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الطليعة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1983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.</w:t>
      </w:r>
      <w:r w:rsidDel="00000000" w:rsidR="00000000" w:rsidRPr="00000000">
        <w:rPr>
          <w:rtl w:val="0"/>
        </w:rPr>
      </w:r>
    </w:p>
  </w:footnote>
  <w:footnote w:id="26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134 .</w:t>
      </w:r>
      <w:r w:rsidDel="00000000" w:rsidR="00000000" w:rsidRPr="00000000">
        <w:rPr>
          <w:rtl w:val="0"/>
        </w:rPr>
      </w:r>
    </w:p>
  </w:footnote>
  <w:footnote w:id="27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 .</w:t>
      </w:r>
      <w:r w:rsidDel="00000000" w:rsidR="00000000" w:rsidRPr="00000000">
        <w:rPr>
          <w:rtl w:val="0"/>
        </w:rPr>
      </w:r>
    </w:p>
  </w:footnote>
  <w:footnote w:id="28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13 .</w:t>
      </w:r>
      <w:r w:rsidDel="00000000" w:rsidR="00000000" w:rsidRPr="00000000">
        <w:rPr>
          <w:rtl w:val="0"/>
        </w:rPr>
      </w:r>
    </w:p>
  </w:footnote>
  <w:footnote w:id="29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1/121 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4 .</w:t>
      </w:r>
      <w:r w:rsidDel="00000000" w:rsidR="00000000" w:rsidRPr="00000000">
        <w:rPr>
          <w:rtl w:val="0"/>
        </w:rPr>
      </w:r>
    </w:p>
  </w:footnote>
  <w:footnote w:id="31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1/115 .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الكافرون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3. </w:t>
      </w:r>
      <w:r w:rsidDel="00000000" w:rsidR="00000000" w:rsidRPr="00000000">
        <w:rPr>
          <w:rtl w:val="0"/>
        </w:rPr>
      </w:r>
    </w:p>
  </w:footnote>
  <w:footnote w:id="33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2/131 .</w:t>
      </w:r>
      <w:r w:rsidDel="00000000" w:rsidR="00000000" w:rsidRPr="00000000">
        <w:rPr>
          <w:rtl w:val="0"/>
        </w:rPr>
      </w:r>
    </w:p>
  </w:footnote>
  <w:footnote w:id="34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71 .</w:t>
      </w:r>
    </w:p>
  </w:footnote>
  <w:footnote w:id="35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 .</w:t>
      </w:r>
    </w:p>
  </w:footnote>
  <w:footnote w:id="36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37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1/56 .</w:t>
      </w:r>
    </w:p>
  </w:footnote>
  <w:footnote w:id="38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28 .</w:t>
      </w:r>
    </w:p>
  </w:footnote>
  <w:footnote w:id="39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1/83 .</w:t>
      </w:r>
    </w:p>
  </w:footnote>
  <w:footnote w:id="40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1/119 .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ديوان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النابغة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الذبياني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149 .</w:t>
      </w:r>
    </w:p>
  </w:footnote>
  <w:footnote w:id="42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 .</w:t>
      </w:r>
    </w:p>
  </w:footnote>
  <w:footnote w:id="43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 .</w:t>
      </w:r>
    </w:p>
  </w:footnote>
  <w:footnote w:id="44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عياش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بالعياشي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المحلاتي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طهران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3 - 4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الجزائري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2/47 .</w:t>
      </w:r>
    </w:p>
  </w:footnote>
  <w:footnote w:id="45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/ 328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277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الوهبية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1293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120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الابصار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الشلبنجي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159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سفينة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الانوار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ومدينة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خلاصته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نسق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دوائر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رضا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(1359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1355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1/ 259 .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تصانيف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لآقا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برزك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الطهراني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1389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4/283 . </w:t>
      </w:r>
    </w:p>
  </w:footnote>
  <w:footnote w:id="47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1/453. </w:t>
      </w:r>
    </w:p>
  </w:footnote>
  <w:footnote w:id="48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.</w:t>
      </w:r>
    </w:p>
  </w:footnote>
  <w:footnote w:id="49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683 .</w:t>
      </w:r>
    </w:p>
  </w:footnote>
  <w:footnote w:id="50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</w:t>
      </w:r>
    </w:p>
  </w:footnote>
  <w:footnote w:id="51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34 .</w:t>
      </w:r>
    </w:p>
  </w:footnote>
  <w:footnote w:id="52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15 .</w:t>
      </w:r>
    </w:p>
  </w:footnote>
  <w:footnote w:id="53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المطففين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120 .</w:t>
      </w:r>
    </w:p>
  </w:footnote>
  <w:footnote w:id="54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18 .</w:t>
      </w:r>
    </w:p>
  </w:footnote>
  <w:footnote w:id="55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131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الأطهار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المجلسي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                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 386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البرهان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الكتكاتى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1109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1302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    1 / 64 .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والخبر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الوضع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</w:footnote>
  <w:footnote w:id="56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104 .</w:t>
      </w:r>
    </w:p>
  </w:footnote>
  <w:footnote w:id="57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46 .</w:t>
      </w:r>
    </w:p>
  </w:footnote>
  <w:footnote w:id="58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479 .</w:t>
      </w:r>
    </w:p>
  </w:footnote>
  <w:footnote w:id="59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85 .</w:t>
      </w:r>
    </w:p>
  </w:footnote>
  <w:footnote w:id="60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82 .</w:t>
      </w:r>
    </w:p>
  </w:footnote>
  <w:footnote w:id="61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92 .</w:t>
      </w:r>
    </w:p>
  </w:footnote>
  <w:footnote w:id="62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83 .</w:t>
      </w:r>
    </w:p>
  </w:footnote>
  <w:footnote w:id="63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64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55 .</w:t>
      </w:r>
    </w:p>
  </w:footnote>
  <w:footnote w:id="65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.</w:t>
      </w:r>
    </w:p>
  </w:footnote>
  <w:footnote w:id="66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5 .</w:t>
      </w:r>
    </w:p>
  </w:footnote>
  <w:footnote w:id="67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35 .</w:t>
      </w:r>
    </w:p>
  </w:footnote>
  <w:footnote w:id="68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22 .</w:t>
      </w:r>
    </w:p>
  </w:footnote>
  <w:footnote w:id="69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 .</w:t>
      </w:r>
    </w:p>
  </w:footnote>
  <w:footnote w:id="70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72 .</w:t>
      </w:r>
    </w:p>
  </w:footnote>
  <w:footnote w:id="71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183 .</w:t>
      </w:r>
    </w:p>
  </w:footnote>
  <w:footnote w:id="72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73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2 .</w:t>
      </w:r>
    </w:p>
  </w:footnote>
  <w:footnote w:id="74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 .</w:t>
      </w:r>
    </w:p>
  </w:footnote>
  <w:footnote w:id="75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181 .</w:t>
      </w:r>
    </w:p>
  </w:footnote>
  <w:footnote w:id="76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مستدركه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222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( 450 )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192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 1011 )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سننه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457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( 1988 ) . 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: 1/270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( 747 ) ؛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: 1/307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( 410 )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</w:footnote>
  <w:footnote w:id="78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 . </w:t>
      </w:r>
    </w:p>
  </w:footnote>
  <w:footnote w:id="79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269 .</w:t>
      </w:r>
    </w:p>
  </w:footnote>
  <w:footnote w:id="80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1/60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: 1/738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( 2028 )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6/ 113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( 2484 ) .</w:t>
      </w:r>
    </w:p>
  </w:footnote>
  <w:footnote w:id="81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72 .</w:t>
      </w:r>
    </w:p>
  </w:footnote>
  <w:footnote w:id="82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1/277 .</w:t>
      </w:r>
    </w:p>
  </w:footnote>
  <w:footnote w:id="83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38 .</w:t>
      </w:r>
    </w:p>
  </w:footnote>
  <w:footnote w:id="84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1/422 .</w:t>
      </w:r>
    </w:p>
  </w:footnote>
  <w:footnote w:id="85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الذاريات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86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2/64 .</w:t>
      </w:r>
    </w:p>
  </w:footnote>
  <w:footnote w:id="87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12 .</w:t>
      </w:r>
    </w:p>
  </w:footnote>
  <w:footnote w:id="88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142 .</w:t>
      </w:r>
    </w:p>
  </w:footnote>
  <w:footnote w:id="89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1/119 .</w:t>
      </w:r>
    </w:p>
  </w:footnote>
  <w:footnote w:id="90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19 .</w:t>
      </w:r>
    </w:p>
  </w:footnote>
  <w:footnote w:id="91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1/189 .</w:t>
      </w:r>
    </w:p>
  </w:footnote>
  <w:footnote w:id="92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1 .</w:t>
      </w:r>
    </w:p>
  </w:footnote>
  <w:footnote w:id="93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2/367 .</w:t>
      </w:r>
    </w:p>
  </w:footnote>
  <w:footnote w:id="94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37 .</w:t>
      </w:r>
    </w:p>
  </w:footnote>
  <w:footnote w:id="95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 .</w:t>
      </w:r>
    </w:p>
  </w:footnote>
  <w:footnote w:id="96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الصنعاني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 .</w:t>
      </w:r>
    </w:p>
  </w:footnote>
  <w:footnote w:id="97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1/544 .</w:t>
      </w:r>
    </w:p>
  </w:footnote>
  <w:footnote w:id="98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( 409 ) .</w:t>
      </w:r>
    </w:p>
  </w:footnote>
  <w:footnote w:id="99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1/47 .</w:t>
      </w:r>
    </w:p>
  </w:footnote>
  <w:footnote w:id="100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204 . </w:t>
      </w:r>
    </w:p>
  </w:footnote>
  <w:footnote w:id="101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1/44 .</w:t>
      </w:r>
    </w:p>
  </w:footnote>
  <w:footnote w:id="102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2628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( 6765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2054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(2668 ) .</w:t>
      </w:r>
      <w:r w:rsidDel="00000000" w:rsidR="00000000" w:rsidRPr="00000000">
        <w:rPr>
          <w:rtl w:val="0"/>
        </w:rPr>
      </w:r>
    </w:p>
  </w:footnote>
  <w:footnote w:id="103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246 . </w:t>
      </w:r>
    </w:p>
  </w:footnote>
  <w:footnote w:id="104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التستري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1/51 . </w:t>
      </w:r>
    </w:p>
  </w:footnote>
  <w:footnote w:id="105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الصحيحين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3/472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( 5793 ) .</w:t>
      </w:r>
    </w:p>
  </w:footnote>
  <w:footnote w:id="106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قايماز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ركماني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1/125 .</w:t>
      </w:r>
    </w:p>
  </w:footnote>
  <w:footnote w:id="107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2/324 ، 410. </w:t>
      </w:r>
    </w:p>
  </w:footnote>
  <w:footnote w:id="108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الاوردبادي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 .</w:t>
      </w:r>
    </w:p>
  </w:footnote>
  <w:footnote w:id="109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لإعجاز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الموسوي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الكنتوري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اللكنوي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1286 )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كلكتة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1/131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والذريعة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4/299 .</w:t>
      </w:r>
    </w:p>
  </w:footnote>
  <w:footnote w:id="110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الخوئي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 ، 1413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14/ 271 </w:t>
      </w:r>
    </w:p>
  </w:footnote>
  <w:footnote w:id="111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طرائف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أصغر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شفيع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الجابلقي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البروجردي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1313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الرجائي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المرعشي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النجفي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1410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 .</w:t>
      </w:r>
      <w:r w:rsidDel="00000000" w:rsidR="00000000" w:rsidRPr="00000000">
        <w:rPr>
          <w:rtl w:val="0"/>
        </w:rPr>
      </w:r>
    </w:p>
  </w:footnote>
  <w:footnote w:id="112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لفخر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الطريحي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الثقافة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1408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113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.</w:t>
      </w:r>
    </w:p>
  </w:footnote>
  <w:footnote w:id="114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.</w:t>
      </w:r>
    </w:p>
  </w:footnote>
  <w:footnote w:id="115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.</w:t>
      </w:r>
    </w:p>
  </w:footnote>
  <w:footnote w:id="116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11 .</w:t>
      </w:r>
    </w:p>
  </w:footnote>
  <w:footnote w:id="117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.</w:t>
      </w:r>
    </w:p>
  </w:footnote>
  <w:footnote w:id="118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.</w:t>
      </w:r>
    </w:p>
  </w:footnote>
  <w:footnote w:id="119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.</w:t>
      </w:r>
    </w:p>
  </w:footnote>
  <w:footnote w:id="120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816 .</w:t>
      </w:r>
    </w:p>
  </w:footnote>
  <w:footnote w:id="121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622 . </w:t>
      </w:r>
    </w:p>
  </w:footnote>
  <w:footnote w:id="122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.</w:t>
      </w:r>
    </w:p>
  </w:footnote>
  <w:footnote w:id="123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 .</w:t>
      </w:r>
    </w:p>
  </w:footnote>
  <w:footnote w:id="124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 .</w:t>
      </w:r>
    </w:p>
  </w:footnote>
  <w:footnote w:id="125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14 .</w:t>
      </w:r>
    </w:p>
  </w:footnote>
  <w:footnote w:id="126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7 .</w:t>
      </w:r>
    </w:p>
  </w:footnote>
  <w:footnote w:id="127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52 .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