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sz w:val="96"/>
          <w:szCs w:val="96"/>
          <w:rtl w:val="0"/>
        </w:rPr>
        <w:t xml:space="preserve">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ثلاثة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مباحث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جهود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العراقيين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الكريم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أبرز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المفسرين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العراقيين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القرن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أبرز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التفاسير</w:t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و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جهود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العراقيين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خدمة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القرآن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الكريم</w:t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الخصوص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والتشريع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والسيرة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لاحظناه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316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تلميذ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احتجاج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مختصرا</w:t>
      </w:r>
      <w:r w:rsidDel="00000000" w:rsidR="00000000" w:rsidRPr="00000000">
        <w:rPr>
          <w:rtl w:val="1"/>
        </w:rPr>
        <w:t xml:space="preserve">ً : </w:t>
      </w: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السيوطي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احتجاج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والضاد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أوغلو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أنطاليا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برقم</w:t>
      </w:r>
      <w:r w:rsidDel="00000000" w:rsidR="00000000" w:rsidRPr="00000000">
        <w:rPr>
          <w:rtl w:val="1"/>
        </w:rPr>
        <w:t xml:space="preserve"> 2504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14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- 33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           618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والشكل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الش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الشكل</w:t>
      </w:r>
      <w:r w:rsidDel="00000000" w:rsidR="00000000" w:rsidRPr="00000000">
        <w:rPr>
          <w:rtl w:val="1"/>
        </w:rPr>
        <w:t xml:space="preserve"> " ، </w:t>
      </w: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المكيين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شنبوذ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وانفراداته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وشواذ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   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336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احتجاج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والانتصار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لمحمـد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يعقـوب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البغـدادي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النحـوي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341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الحاضرة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تأسيسها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غمض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المتشابهة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وأشكاله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التصحيف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والتحريف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المتشابهة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3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هجاء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التنزيل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وهجائه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السجستاني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316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مطبوع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مشهور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الأصبهاني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المقطوع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والموصول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328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كيسان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الجعد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كيسان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A">
      <w:pPr>
        <w:widowControl w:val="0"/>
        <w:bidi w:val="1"/>
        <w:ind w:firstLine="607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b w:val="1"/>
          <w:rtl w:val="0"/>
        </w:rPr>
        <w:t xml:space="preserve"> ، </w:t>
      </w:r>
      <w:r w:rsidDel="00000000" w:rsidR="00000000" w:rsidRPr="00000000">
        <w:rPr>
          <w:rtl w:val="1"/>
        </w:rPr>
        <w:t xml:space="preserve">واللطائف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لمحمـد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         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يعقـوب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البغـدادي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النحـوي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341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الرماني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384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درستويه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347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D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 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310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كتاب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rtl w:val="1"/>
        </w:rPr>
        <w:t xml:space="preserve">لعبد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السجستاني</w:t>
      </w:r>
      <w:r w:rsidDel="00000000" w:rsidR="00000000" w:rsidRPr="00000000">
        <w:rPr>
          <w:rtl w:val="1"/>
        </w:rPr>
        <w:t xml:space="preserve"> ،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316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الزركلي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( 300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تناولهم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نافع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169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120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عاصم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النجود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127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حمزة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</w:t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الكسائي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189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الشامي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118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البخاري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لسيبويه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والاجتماع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للخوارزمي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الرياضيات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كبيرا</w:t>
      </w:r>
      <w:r w:rsidDel="00000000" w:rsidR="00000000" w:rsidRPr="00000000">
        <w:rPr>
          <w:rtl w:val="1"/>
        </w:rPr>
        <w:t xml:space="preserve">ً 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سلبيا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وسارت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اتجاهات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الاتجاه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المتأثر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إيجابيا</w:t>
      </w:r>
      <w:r w:rsidDel="00000000" w:rsidR="00000000" w:rsidRPr="00000000">
        <w:rPr>
          <w:rtl w:val="1"/>
        </w:rPr>
        <w:t xml:space="preserve">ً .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الاتجاه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المتأثر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سلبيا</w:t>
      </w:r>
      <w:r w:rsidDel="00000000" w:rsidR="00000000" w:rsidRPr="00000000">
        <w:rPr>
          <w:rtl w:val="1"/>
        </w:rPr>
        <w:t xml:space="preserve">ً .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الاتجاه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استمرارية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الاتجاهات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الاتجاه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المظفر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حمدان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333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تلميذ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349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الموصلي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351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الأوسط</w:t>
      </w:r>
      <w:r w:rsidDel="00000000" w:rsidR="00000000" w:rsidRPr="00000000">
        <w:rPr>
          <w:rtl w:val="1"/>
        </w:rPr>
        <w:t xml:space="preserve"> 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الأصغر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378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قصيدة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الاتجاه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موقفين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تصحيحي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والآخر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الشبهة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المقصودة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أنزل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سبعة</w:t>
      </w:r>
      <w:r w:rsidDel="00000000" w:rsidR="00000000" w:rsidRPr="00000000">
        <w:rPr>
          <w:rtl w:val="1"/>
        </w:rPr>
        <w:t xml:space="preserve">               </w:t>
      </w:r>
      <w:r w:rsidDel="00000000" w:rsidR="00000000" w:rsidRPr="00000000">
        <w:rPr>
          <w:rtl w:val="1"/>
        </w:rPr>
        <w:t xml:space="preserve">أحرف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الحقبة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والعشرة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والإحدى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والاثنتي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والأربع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الإحدى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الأعمش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             (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348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الاتجاه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مسارات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الاحتجاج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وتعليلها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درستويه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347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بكتابه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الاحتجاج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للقراء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349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شواذ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حفص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الأعمش</w:t>
      </w:r>
      <w:r w:rsidDel="00000000" w:rsidR="00000000" w:rsidRPr="00000000">
        <w:rPr>
          <w:vertAlign w:val="superscript"/>
          <w:rtl w:val="0"/>
        </w:rPr>
        <w:t xml:space="preserve">( 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النقاش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351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بكتابه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بعللها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E">
      <w:pPr>
        <w:widowControl w:val="0"/>
        <w:bidi w:val="1"/>
        <w:ind w:firstLine="607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الكسائي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حمزة</w:t>
      </w:r>
      <w:r w:rsidDel="00000000" w:rsidR="00000000" w:rsidRPr="00000000">
        <w:rPr>
          <w:b w:val="1"/>
          <w:rtl w:val="0"/>
        </w:rPr>
        <w:t xml:space="preserve"> ، </w:t>
      </w:r>
      <w:r w:rsidDel="00000000" w:rsidR="00000000" w:rsidRPr="00000000">
        <w:rPr>
          <w:rtl w:val="1"/>
        </w:rPr>
        <w:t xml:space="preserve">لأبى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352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خالويه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370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الحجة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مطبوع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متداول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والبديع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377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بكتابه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sz w:val="24"/>
          <w:szCs w:val="24"/>
          <w:rtl w:val="1"/>
        </w:rPr>
        <w:t xml:space="preserve">الحجة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القراءات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السبع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مطبوع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متداول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1">
      <w:pPr>
        <w:widowControl w:val="0"/>
        <w:bidi w:val="1"/>
        <w:ind w:firstLine="607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السامري</w:t>
      </w:r>
      <w:r w:rsidDel="00000000" w:rsidR="00000000" w:rsidRPr="00000000">
        <w:rPr>
          <w:rtl w:val="1"/>
        </w:rPr>
        <w:t xml:space="preserve"> ،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386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52">
      <w:pPr>
        <w:widowControl w:val="0"/>
        <w:bidi w:val="1"/>
        <w:ind w:firstLine="607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الاستبصار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،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393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المنهجي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الدارقطني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القطن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ببغداد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385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الجزري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الدراقطني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جليلا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مثله</w:t>
      </w:r>
      <w:r w:rsidDel="00000000" w:rsidR="00000000" w:rsidRPr="00000000">
        <w:rPr>
          <w:rtl w:val="1"/>
        </w:rPr>
        <w:t xml:space="preserve"> ، 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الفرش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منواله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ونستنتج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للدارقطني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الإدغام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والإمالة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والهمز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وأحكامها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للدارقطني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المسار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بتراجم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363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بكتابه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تسمية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وبعده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المعجم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وقراءاتهم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وتتابعت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التآليف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الاتجاهات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B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التأليف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التجويد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يرى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مزاحم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الخاقاني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التجويد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التجويد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وتعريفه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الاصطلاحي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بوضوح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مزاحم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القصيدة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الخاقانية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وأستاذهم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أسماه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الهاءات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        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تلميذه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349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المتوفى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350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1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الوقف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والابتداء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شاذان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310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            ( </w:t>
      </w:r>
      <w:r w:rsidDel="00000000" w:rsidR="00000000" w:rsidRPr="00000000">
        <w:rPr>
          <w:rtl w:val="1"/>
        </w:rPr>
        <w:t xml:space="preserve">المقاطع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والمبادئ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كيسان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إيضاح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لمحمـد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يعقـوب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البغـدادي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النحـوي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341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حمزة</w:t>
      </w:r>
      <w:r w:rsidDel="00000000" w:rsidR="00000000" w:rsidRPr="00000000">
        <w:rPr>
          <w:b w:val="1"/>
          <w:rtl w:val="0"/>
        </w:rPr>
        <w:t xml:space="preserve"> ،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الواثق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350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شجرة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355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السيرافي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368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392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ونصفهم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والمصطلحات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يستعملها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القبيح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لتعلقه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القبيح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تاما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تلخيص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إيضاح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التفاصيل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عباراته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مقتضبة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ونادرا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أغلب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مصادره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آراءهم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السجستاني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مخالفا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79">
      <w:pPr>
        <w:widowControl w:val="0"/>
        <w:bidi w:val="1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bidi w:val="1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bidi w:val="1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متشابه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الآتية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7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عبدالوهاب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المعتزلي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303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 .</w:t>
      </w:r>
    </w:p>
    <w:p w:rsidR="00000000" w:rsidDel="00000000" w:rsidP="00000000" w:rsidRDefault="00000000" w:rsidRPr="00000000" w14:paraId="0000007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،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368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33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ضحى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2/137 .</w:t>
      </w:r>
    </w:p>
  </w:footnote>
  <w:footnote w:id="1"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18/200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1/15 ، 2/1318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1/110 .</w:t>
      </w:r>
    </w:p>
  </w:footnote>
  <w:footnote w:id="2"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مخطوطات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التجويد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 15.</w:t>
      </w:r>
    </w:p>
  </w:footnote>
  <w:footnote w:id="3"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34. </w:t>
      </w:r>
    </w:p>
  </w:footnote>
  <w:footnote w:id="4"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363 .</w:t>
      </w:r>
    </w:p>
  </w:footnote>
  <w:footnote w:id="5"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23. </w:t>
      </w:r>
    </w:p>
  </w:footnote>
  <w:footnote w:id="6"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17/170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5/309 .</w:t>
      </w:r>
    </w:p>
  </w:footnote>
  <w:footnote w:id="7"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24 .</w:t>
      </w:r>
    </w:p>
  </w:footnote>
  <w:footnote w:id="8"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 153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15.</w:t>
      </w:r>
    </w:p>
  </w:footnote>
  <w:footnote w:id="9"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45 .</w:t>
      </w:r>
    </w:p>
  </w:footnote>
  <w:footnote w:id="10"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2/350 .</w:t>
      </w:r>
    </w:p>
  </w:footnote>
  <w:footnote w:id="11"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،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1339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يالتقايا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ورفعت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بيلكه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استانبول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.</w:t>
      </w:r>
    </w:p>
  </w:footnote>
  <w:footnote w:id="12"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 .</w:t>
      </w:r>
    </w:p>
  </w:footnote>
  <w:footnote w:id="13"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3/47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 250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وإنباه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1/269،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وإيضاح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2/448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2/29 .</w:t>
      </w:r>
      <w:r w:rsidDel="00000000" w:rsidR="00000000" w:rsidRPr="00000000">
        <w:rPr>
          <w:rtl w:val="0"/>
        </w:rPr>
      </w:r>
    </w:p>
  </w:footnote>
  <w:footnote w:id="14"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 153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 1553.</w:t>
      </w:r>
    </w:p>
  </w:footnote>
  <w:footnote w:id="15"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21/428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1/132 .</w:t>
      </w:r>
    </w:p>
  </w:footnote>
  <w:footnote w:id="16"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4/284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30/29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1/86. </w:t>
      </w:r>
    </w:p>
  </w:footnote>
  <w:footnote w:id="17"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2/1449 .</w:t>
      </w:r>
    </w:p>
  </w:footnote>
  <w:footnote w:id="18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4/91. </w:t>
      </w:r>
    </w:p>
  </w:footnote>
  <w:footnote w:id="19"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9 .</w:t>
      </w:r>
    </w:p>
  </w:footnote>
  <w:footnote w:id="20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37 .</w:t>
      </w:r>
    </w:p>
  </w:footnote>
  <w:footnote w:id="21"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1/408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307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221.</w:t>
      </w:r>
    </w:p>
  </w:footnote>
  <w:footnote w:id="22"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1/212 .</w:t>
      </w:r>
    </w:p>
  </w:footnote>
  <w:footnote w:id="23"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792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2/9 </w:t>
      </w:r>
    </w:p>
  </w:footnote>
  <w:footnote w:id="24"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2/1317 .</w:t>
      </w:r>
    </w:p>
  </w:footnote>
  <w:footnote w:id="25"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أحرف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4/1909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( 4706 )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بأسا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4/1923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( 4754 )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فاقرءوا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تيسر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6/2744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( 7111 )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المسافرين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وقصرها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انزل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أحرف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1/561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( 818 )</w:t>
      </w:r>
      <w:r w:rsidDel="00000000" w:rsidR="00000000" w:rsidRPr="00000000">
        <w:rPr>
          <w:rtl w:val="0"/>
        </w:rPr>
      </w:r>
    </w:p>
  </w:footnote>
  <w:footnote w:id="26"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/ 230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396-397،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216 .</w:t>
      </w:r>
      <w:r w:rsidDel="00000000" w:rsidR="00000000" w:rsidRPr="00000000">
        <w:rPr>
          <w:rtl w:val="0"/>
        </w:rPr>
      </w:r>
    </w:p>
  </w:footnote>
  <w:footnote w:id="27"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69 .</w:t>
      </w:r>
      <w:r w:rsidDel="00000000" w:rsidR="00000000" w:rsidRPr="00000000">
        <w:rPr>
          <w:rtl w:val="0"/>
        </w:rPr>
      </w:r>
    </w:p>
  </w:footnote>
  <w:footnote w:id="28"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307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221 .</w:t>
      </w:r>
    </w:p>
  </w:footnote>
  <w:footnote w:id="29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4/298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2/255 .</w:t>
      </w:r>
    </w:p>
  </w:footnote>
  <w:footnote w:id="30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221.</w:t>
      </w:r>
    </w:p>
  </w:footnote>
  <w:footnote w:id="31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( 1054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82 .</w:t>
      </w:r>
    </w:p>
  </w:footnote>
  <w:footnote w:id="32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78 .</w:t>
      </w:r>
    </w:p>
  </w:footnote>
  <w:footnote w:id="33"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40.</w:t>
      </w:r>
    </w:p>
  </w:footnote>
  <w:footnote w:id="34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275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163، 164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7/ 232 - 261،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 207 .</w:t>
      </w:r>
      <w:r w:rsidDel="00000000" w:rsidR="00000000" w:rsidRPr="00000000">
        <w:rPr>
          <w:rtl w:val="0"/>
        </w:rPr>
      </w:r>
    </w:p>
  </w:footnote>
  <w:footnote w:id="35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الغفاري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المأمون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</w:p>
  </w:footnote>
  <w:footnote w:id="36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سزكين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وراجعه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105.</w:t>
      </w:r>
    </w:p>
  </w:footnote>
  <w:footnote w:id="37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6.</w:t>
      </w:r>
    </w:p>
  </w:footnote>
  <w:footnote w:id="38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1/249 .</w:t>
      </w:r>
    </w:p>
  </w:footnote>
  <w:footnote w:id="39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1/354 .</w:t>
      </w:r>
    </w:p>
  </w:footnote>
  <w:footnote w:id="40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6/496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1/489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6/ 81.</w:t>
      </w:r>
    </w:p>
  </w:footnote>
  <w:footnote w:id="41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320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2/478 .</w:t>
      </w:r>
      <w:r w:rsidDel="00000000" w:rsidR="00000000" w:rsidRPr="00000000">
        <w:rPr>
          <w:rtl w:val="0"/>
        </w:rPr>
      </w:r>
    </w:p>
  </w:footnote>
  <w:footnote w:id="42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التجويد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 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</w:t>
      </w:r>
    </w:p>
  </w:footnote>
  <w:footnote w:id="43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8/130 .</w:t>
      </w:r>
    </w:p>
  </w:footnote>
  <w:footnote w:id="44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التجويد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 22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لكارل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بروكلمان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216.</w:t>
      </w:r>
    </w:p>
  </w:footnote>
  <w:footnote w:id="45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46 .</w:t>
      </w:r>
    </w:p>
  </w:footnote>
  <w:footnote w:id="46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379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وإيضاح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93 ، 2/ 221، 326 .</w:t>
      </w:r>
      <w:r w:rsidDel="00000000" w:rsidR="00000000" w:rsidRPr="00000000">
        <w:rPr>
          <w:rtl w:val="0"/>
        </w:rPr>
      </w:r>
    </w:p>
  </w:footnote>
  <w:footnote w:id="47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1/155 .</w:t>
      </w:r>
    </w:p>
  </w:footnote>
  <w:footnote w:id="48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 .</w:t>
      </w:r>
    </w:p>
  </w:footnote>
  <w:footnote w:id="49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 .</w:t>
      </w:r>
    </w:p>
  </w:footnote>
  <w:footnote w:id="50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18/153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وكشـف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1470.</w:t>
      </w:r>
    </w:p>
  </w:footnote>
  <w:footnote w:id="51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221.</w:t>
      </w:r>
    </w:p>
  </w:footnote>
  <w:footnote w:id="52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المضية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1/13. </w:t>
      </w:r>
    </w:p>
  </w:footnote>
  <w:footnote w:id="53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62 - 63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341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2/1470 .</w:t>
      </w:r>
    </w:p>
  </w:footnote>
  <w:footnote w:id="54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، 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321.</w:t>
      </w:r>
    </w:p>
  </w:footnote>
  <w:footnote w:id="55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1390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1/449 .</w:t>
      </w:r>
    </w:p>
  </w:footnote>
  <w:footnote w:id="56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1/498 ، 505 ، 514 ، 521 .</w:t>
      </w:r>
    </w:p>
  </w:footnote>
  <w:footnote w:id="57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1/520 .</w:t>
      </w:r>
    </w:p>
  </w:footnote>
  <w:footnote w:id="58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1/485 .</w:t>
      </w:r>
    </w:p>
  </w:footnote>
  <w:footnote w:id="59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</w:t>
      </w:r>
    </w:p>
  </w:footnote>
  <w:footnote w:id="60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before="120" w:lineRule="auto"/>
      <w:jc w:val="center"/>
    </w:pPr>
    <w:rPr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