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بالإخشيدي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وبالوراق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وأصولي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ومفسر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سامراء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ومولده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    ( 296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</w:t>
      </w:r>
      <w:r w:rsidDel="00000000" w:rsidR="00000000" w:rsidRPr="00000000">
        <w:rPr>
          <w:sz w:val="24"/>
          <w:szCs w:val="24"/>
          <w:rtl w:val="1"/>
        </w:rPr>
        <w:t xml:space="preserve">أخذ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1"/>
        </w:rPr>
        <w:t xml:space="preserve">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الزجاج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السراج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التنوخي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الجوهري</w:t>
      </w:r>
      <w:r w:rsidDel="00000000" w:rsidR="00000000" w:rsidRPr="00000000">
        <w:rPr>
          <w:sz w:val="24"/>
          <w:szCs w:val="24"/>
          <w:rtl w:val="0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اعتزاله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شيعيا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التوحيدي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وغزارة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وبصرا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بالمقالات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واستخراجا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للعويص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وإيضاحا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للمشكل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وتنزه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وفصاحة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وعفاف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ونظافة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يمزج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بالمنطق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الأكوان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والصفات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وصنعة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الاستدلال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الاعتزال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الفوائد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بالاعتزال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الزمخشري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والنكت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جمادى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 384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ودفن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بالشونيزية</w:t>
      </w:r>
      <w:r w:rsidDel="00000000" w:rsidR="00000000" w:rsidRPr="00000000">
        <w:rPr>
          <w:vertAlign w:val="superscript"/>
          <w:rtl w:val="0"/>
        </w:rPr>
        <w:t xml:space="preserve">  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عوض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الديانة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كالنحلة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للدبر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يعطى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والناحل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للمهزول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لحمه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عوض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متعلق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بمحذوف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محذوف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والتدبر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دعوتك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يسمعون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وتدبر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0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رياح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لواقح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والصبا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والدبور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وأفردت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العذاب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تلقح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الدبور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يقتضيه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انتظام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الضمائر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واللاحقة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البديع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المذكور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سلكناه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أدخلنا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المجرمين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ففهموا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معانيه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وعرفوا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فصاحته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البشرية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أنضم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وبشارة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بإنزاله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خزائنه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مقدوراته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سبحانه</w:t>
      </w:r>
      <w:r w:rsidDel="00000000" w:rsidR="00000000" w:rsidRPr="00000000">
        <w:rPr>
          <w:b w:val="1"/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ارتكاب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ألممت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وقاربته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مواقعة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بالذنب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يواقع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يحتمل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كاشفة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مصدرا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كالعاقبة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وخائنة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الوضيع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لإكثاره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القبيح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المهانة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bidi w:val="1"/>
        <w:contextualSpacing w:val="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18 </w:t>
      </w:r>
      <w:r w:rsidDel="00000000" w:rsidR="00000000" w:rsidRPr="00000000">
        <w:rPr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حمشاذ</w:t>
      </w:r>
      <w:r w:rsidDel="00000000" w:rsidR="00000000" w:rsidRPr="00000000">
        <w:rPr>
          <w:b w:val="1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حمشاذ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سختويه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نيسابور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النيسابوري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( 258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( 277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وبهمذان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ديزيل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الحارث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وطبقته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العزيز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بطوس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وأقران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الحاكم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الحاكم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مستدركه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مشايخنا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اثبت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والتصنيف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الصبغي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صحبت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حمشاذ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الحضر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والسفر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فما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الملائكة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خطيئة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مصنفات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نافعة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جزء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الأحكام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اثنين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وستين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جزءا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مجلدات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فجأة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شوال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( 338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وأغلب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مستدرك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مستدركه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حمشاذ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الحميدي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هريرة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عجلان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أدعوهم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ورسوله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وأعرض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شرائع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فأتيتهم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جاؤوا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فاجتمعوا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يأكلونها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ويحكم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أتيتكم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فتلوت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نزير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أدعوهم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ويأبون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ويحكم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اسقوني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العطش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عباءتي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ندعك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عطشا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فاغتممت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وضربت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برأسي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الرمضاء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فأتاني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فأمكنني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فشربتها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فحيث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فرغت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شرابي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استيقظت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عطشت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مستدركه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العامري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صدقة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هرمز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فسمعتهم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أتاكم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سراة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قومكم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بمذقة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فأتوني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بمذقة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أطعمني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وسقاني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وأريتهم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بطني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فأسلموا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الواحدي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نهون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   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حمشاذ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الأصفهاني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ثابت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ينهى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المشركين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يؤذوا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ويتباعد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19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النحاس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3">
      <w:pPr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المصري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واجتمع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بعلمائه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نظراء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نفطويه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الأخفش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غزير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ودرس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التميمي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ونفطويه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متواضع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يتكبر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يسأل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النظر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شغوف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الاطلاع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الزبيدي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غزير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التأليف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حاذق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مشاهدة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            ( 338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قصد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الإعراب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إعرابها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والعلل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ناسخ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ومنسوخه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القصائد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التسع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المشهورات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التفاحة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القطع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والاستئناف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والابتداء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اللامات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تغيير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مفقودة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ونظرا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لتنوع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السعماني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الت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يطهرن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التخفيف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الاغتسال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الطهارة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آمنوا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بصفة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واستفتحوا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كفروا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إيمان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النساء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مستندا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يع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اتفاقا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مفتاح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معظم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الآلوسي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الأنعام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ناسخه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الثلاث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سيصيب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أجرموا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صغار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التقديم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والتأخير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1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الجوزي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فأضيف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وتصديقه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ومكرا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سيئا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والهمزة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مخفوضة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جزمها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الأعمش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وحمزة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لكثرة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الحركات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الحذاق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لحن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يجوز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اضطرارا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الأعمش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فيترك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فغلط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يحذف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فتابع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الغالط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الإدراج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1B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20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مقسم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العطار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</w:t>
      </w:r>
    </w:p>
    <w:p w:rsidR="00000000" w:rsidDel="00000000" w:rsidP="00000000" w:rsidRDefault="00000000" w:rsidRPr="00000000" w14:paraId="0000001C">
      <w:pPr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الحسن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يعقوب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الحسن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مقسم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البغدادي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المقرئ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النحوي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العطار</w:t>
      </w:r>
      <w:r w:rsidDel="00000000" w:rsidR="00000000" w:rsidRPr="00000000">
        <w:rPr>
          <w:sz w:val="24"/>
          <w:szCs w:val="24"/>
          <w:rtl w:val="1"/>
        </w:rPr>
        <w:t xml:space="preserve"> .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( 265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.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وافقت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المصحف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ووجها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فالقراءة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جائزة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فأحضره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واستتابه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يقرئ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فضائح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وطامات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وتوفي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( 354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. </w:t>
      </w:r>
    </w:p>
    <w:p w:rsidR="00000000" w:rsidDel="00000000" w:rsidP="00000000" w:rsidRDefault="00000000" w:rsidRPr="00000000" w14:paraId="0000001D">
      <w:pPr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مؤلفاته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الأنوار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اللطائف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المصاحف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مجالسات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شفاء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وسماه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الأصغر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احتجاج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E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توحيدا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الوسطى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العتمة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والصبح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الدمياطي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الرازي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لغتان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المفتوحة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يق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حقيق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حقيق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واضح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تعليق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يخطر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تعليق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حقيق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لأمرين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تثنية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المتمكنة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المتمكنة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مبنيان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فأرادوا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زادوا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جنسها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الصيدلي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يحتاج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خاشعا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إعظام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وإخلاص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واليقين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رزق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يرزقها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جوعا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21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0"/>
        </w:rPr>
        <w:t xml:space="preserve"> :</w:t>
      </w:r>
    </w:p>
    <w:p w:rsidR="00000000" w:rsidDel="00000000" w:rsidP="00000000" w:rsidRDefault="00000000" w:rsidRPr="00000000" w14:paraId="0000002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المطرز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الباوردي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( 261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أئمة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المكثرين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التصنيف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صناعته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تطريز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الثياب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ونسبته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باورد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أبيورد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بخراسان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زمانا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.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والذكاء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الوشاء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وطائفة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برهان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يتكلم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والآخرين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الخطيب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يطعنون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ويقولون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ثعلب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الأعرابي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سببا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فيصدقونه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ويوثقونه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وولى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مملوكا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يقال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خواجا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الياقوتة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اكتبوا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ياقوتة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خوجا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الخواج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الجوع</w:t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بابا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فاستعظم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وتتبعوه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الحاتمي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أخرجنا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الحامض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ثعلب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الأعرابي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الخواج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الجوع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يؤدب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فأملى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مسألة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وختمها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ببيتين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دريد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الأنباري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المسائل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شيئا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وأنكروا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الأنباري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مشغول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بتصنيف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شيئا</w:t>
      </w:r>
      <w:r w:rsidDel="00000000" w:rsidR="00000000" w:rsidRPr="00000000">
        <w:rPr>
          <w:rtl w:val="1"/>
        </w:rPr>
        <w:t xml:space="preserve">ً.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مشغول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بالقراءات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دريد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مصنوعات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فبلغه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فاجتمع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وسأله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إحضار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دواوين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سماهم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خزانته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الدواوين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مسألة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شاهدا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ويعرضه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استوفاها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وهذان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أنشدهما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ثعلب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بحضرة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وكتبهما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الفلاني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فأحضر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بلفظه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يحضرون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ليسمعوا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جزءا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يقرأ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شيئا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يبتدئ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الجزء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ماشي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ينفذ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كفايته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أنفذ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تأخيره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فرده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رقعته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أكرمتنا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فملكتنا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وأعرضت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فأرحتنا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( 345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الياقوتة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جزء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المداخل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القبائل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العشرات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استدرك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فصيح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والجمهرة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فألحق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جزءا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لطيفا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 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وتفسير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للقرآن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سماه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 </w:t>
      </w:r>
      <w:r w:rsidDel="00000000" w:rsidR="00000000" w:rsidRPr="00000000">
        <w:rPr>
          <w:rtl w:val="1"/>
        </w:rPr>
        <w:t xml:space="preserve">ياقوتة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الصراط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.</w:t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الأديب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منصور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أطاع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عصى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وحكى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الأعرابي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الجوزي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اؤ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يلا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حصلناه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النكاح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الشيئين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الوطء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نكاحا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درستويه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ح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جعفر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درستويه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المرزبان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الفارسي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النسوي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ميدنة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نسا</w:t>
      </w:r>
      <w:r w:rsidDel="00000000" w:rsidR="00000000" w:rsidRPr="00000000">
        <w:rPr>
          <w:sz w:val="28"/>
          <w:szCs w:val="28"/>
          <w:rtl w:val="1"/>
        </w:rPr>
        <w:t xml:space="preserve"> ) ، </w:t>
      </w:r>
      <w:r w:rsidDel="00000000" w:rsidR="00000000" w:rsidRPr="00000000">
        <w:rPr>
          <w:sz w:val="28"/>
          <w:szCs w:val="28"/>
          <w:rtl w:val="1"/>
        </w:rPr>
        <w:t xml:space="preserve">وقيل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1"/>
        </w:rPr>
        <w:t xml:space="preserve">الفسوي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فسا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النحوي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rtl w:val="1"/>
        </w:rPr>
        <w:t xml:space="preserve">ضبطه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السمعاني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درستويه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بضم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ماكولا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درستويه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بفتح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( 258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 .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فاضلا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rtl w:val="1"/>
        </w:rPr>
        <w:t xml:space="preserve">أقام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سيبويه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قتيبة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المرزباني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والدارقطني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للبصريين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واللغة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المرزباني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بالضعف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ضعفه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اللالكائي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مواقفه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المحدثين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الأزهري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رأيت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درستويه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يعقوب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ميراث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الأبنوسي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فرأيته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ووجدت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سماع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وتصانيفه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والإتقان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منها</w:t>
      </w:r>
      <w:r w:rsidDel="00000000" w:rsidR="00000000" w:rsidRPr="00000000">
        <w:rPr>
          <w:sz w:val="28"/>
          <w:szCs w:val="28"/>
          <w:rtl w:val="1"/>
        </w:rPr>
        <w:t xml:space="preserve"> : ( </w:t>
      </w:r>
      <w:r w:rsidDel="00000000" w:rsidR="00000000" w:rsidRPr="00000000">
        <w:rPr>
          <w:sz w:val="28"/>
          <w:szCs w:val="28"/>
          <w:rtl w:val="1"/>
        </w:rPr>
        <w:t xml:space="preserve">تفسير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الجرمي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وكتاب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التوسط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الأخفش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وثعلب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القرآن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وكتاب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خبر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ساعدة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تصحيح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الفصيح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ويعرف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فصيح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وغيرهم</w:t>
      </w:r>
      <w:r w:rsidDel="00000000" w:rsidR="00000000" w:rsidRPr="00000000">
        <w:rPr>
          <w:sz w:val="28"/>
          <w:szCs w:val="28"/>
          <w:rtl w:val="1"/>
        </w:rPr>
        <w:t xml:space="preserve"> .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الإرشاد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المقصورة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والأفعال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الجرمي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الهجاء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مغزاه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فصيح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ثعلب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الانتصار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العين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أخبار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النجباء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اشتهر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( 347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8"/>
          <w:szCs w:val="28"/>
          <w:rtl w:val="0"/>
        </w:rPr>
        <w:t xml:space="preserve"> . 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الزمخشري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مقدمته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درستويه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المترجم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المتمم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والهجاء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المصحف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العروض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يثبت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أثبته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ويسقط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أسقطه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اثنتا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محفوظي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درستويه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واثنتا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وثنتا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الانقلاب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تقديم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تشبه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محجوج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"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الابتدائية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للجملة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الواقعة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درستويه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زعما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ويرده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تأويله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منثورا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مفعولا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مفعول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ونظير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جامعين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للمسخ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والخسء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درستويه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يجوز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خبران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مفعول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ثالث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6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الماوردي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القسط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مشتق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القسط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درستويه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حذف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مضاف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وإقامة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المضاف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وادكر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درستويه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الدهن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بكر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النقاش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النقاش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( 266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ومنشأه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tl w:val="1"/>
        </w:rPr>
        <w:t xml:space="preserve">ويقال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دجانة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الأنصاري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طويلة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شرقا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وغربا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والجزيرة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وببلاد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خراسان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مبدأ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يتعاطى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السقوف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والحيطان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بالنقاش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الأخفش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مهران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وجماعة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الحمامى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وجماعة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ومطين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وآخرين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الدارقطنى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شاهين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الفرضي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شاذان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وجماعة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ورحل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المشايخ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ضعفه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البرقاني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منكر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طلحة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يكذب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الخطيب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مناكير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بأسانيد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مشهورة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الذهبي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متروك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جلالته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ونبله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الذهبي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اعتمد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.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( 351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تصانيفه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شفاء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اللالكائي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النقاش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شقاء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للصدور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الإشارة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الموضح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ومعانيه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وقراءاتهم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مختصره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القصاص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دلائل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النبوة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بعللها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بالمقارنة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وكتبا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تضعيف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المحدثين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النقاش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صاعقة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وصعقة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وصاقعة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النقاش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الز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النقاش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الباقر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المهاجرين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والأنصار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المهاجرين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والأنصار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جملتهم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الجوزى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النقاش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الأبناء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للآباء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والآباء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للأبناء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"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النقاش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وإلياس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الماوردي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فبعدا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العذاب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الهلاك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النقاش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الثعلبي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وفاطمة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3">
      <w:pPr>
        <w:bidi w:val="1"/>
        <w:contextualSpacing w:val="0"/>
        <w:jc w:val="right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24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حبان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:</w:t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التميمي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الدارمي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خراسان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المؤرخ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المشهورة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سجستان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الأقطار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خراسان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والجزيرة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وتولى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قضاء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سمرقند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نيسابور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النسائي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الموصلي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وطائفة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فقهاء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الآثار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بالنجوم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والطب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البغدادي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نبيلا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أوعية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والوعظ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لسماع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التصنيف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عجز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مصنفاته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الثقات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وغرائب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أوهام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المؤرخين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ومناقب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الشافعي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والمسند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والأنواع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والتقاسيم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والثقات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والصحابة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والتابعين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وأتباع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التابعين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وتباع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وأسامي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بالكنى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والمعجم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المجروحين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وروضة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العقلاء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ووصف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وأنواعها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ومشاهير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الأمصار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بلدته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ووقفها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ليطالعها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وذكر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حاجي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خليفة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تفسيرا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يعرف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بتفسير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حبان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الثمانين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عمره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                  ( 354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5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بشهرة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حضورا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فزعم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اعتقد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المقدس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وزخرفه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7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الآلوسي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لأ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صحيحه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عساكر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لعائشة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بأعجب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عجبا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أتاني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لحافي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ذريني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أتعبد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لربي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فتوضأ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فبكى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دموعه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صدره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ركع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فبكى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فبكى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فبكى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فأذنه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يبكيك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ذنبك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شكورا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سبحانه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يتفكر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8">
      <w:pPr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الماوردي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تركوا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فأنساهم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أنفسهم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يعملوا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اذ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(41)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الثعالبي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25 </w:t>
      </w:r>
      <w:r w:rsidDel="00000000" w:rsidR="00000000" w:rsidRPr="00000000">
        <w:rPr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خالويه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B">
      <w:pPr>
        <w:tabs>
          <w:tab w:val="left" w:pos="3135"/>
        </w:tabs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حمدان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المقرئ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النونين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يطولهما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همذان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ونشأ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واستوطن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خاتمته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  ( 290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طويلة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همذان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بذمار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وانتقل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فاستوطن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وعظمت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فأحله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حمدان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ومباحث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بتأديب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أولاده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( 314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أكابر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المحاملي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الصولي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نفطويه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السيرافي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وأصبح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مشاهير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أقسام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الثعالبي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الآفاق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تلامذته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الخوارزمي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المشهورة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والمعافى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زكريا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النهرواني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وعبدالمنعم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غلبون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وفارس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شيوخ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المقربين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للأمير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الحمداني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حمدان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يكرمونه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ويدرسون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ويقتبسون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خصومة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مشهورة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بحضرة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افعي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ستين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الألفات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  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مختصر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شواذ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البديع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الإيضاح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فصيح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المبتدأ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الأمالي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مقصورة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الاشتقاق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المقصور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والممدود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( 370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16"/>
          <w:szCs w:val="16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3135"/>
        </w:tabs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مميزة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ومتنوعة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وقفنا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المجالات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4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لفظه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ومرادفه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أناسي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3135"/>
        </w:tabs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الزمخشري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ئت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يئا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F">
      <w:pPr>
        <w:tabs>
          <w:tab w:val="left" w:pos="3135"/>
        </w:tabs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الزمخشري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والأعمش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شنبوذ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رمضان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فسمعته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يقرؤها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الت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الآم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وف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ود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تعترض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يلزم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فرقت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فصلين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بمجموعهما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النساء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ثيبات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أبكارا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فاصلة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ضرورة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وواو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الثمانية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مناظرته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وأنكرها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الثمانية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قريشا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عددها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ستة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وثمانية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تسعة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الواو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الثمانية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الأس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         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الأستاذ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الرئيس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المعظم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الرؤساء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المظفر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لفظا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الأستاذ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المعظم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الجرجاني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بمجلس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وبالحضرة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للسيف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خمسين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فتبسم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المهند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الصارم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الرسوب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المخذم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يعدد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الغضب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ثالث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وجدت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ثالثا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سئار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الجصاص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4">
      <w:pPr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الرازي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الحنفي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الكبير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بالجصاص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وكتب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الأصحاب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والتواريخ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مشحونة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بذلك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مولده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( 305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( 325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ودرس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الكرخي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الأهواز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نيسابور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النيسابوري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الكرخي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ومشورته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الكرخي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بنيسابور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( 344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استقر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التدريس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بغداد</w:t>
      </w:r>
      <w:r w:rsidDel="00000000" w:rsidR="00000000" w:rsidRPr="00000000">
        <w:rPr>
          <w:sz w:val="24"/>
          <w:szCs w:val="24"/>
          <w:rtl w:val="1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انتهت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رئاسة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الأصحاب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أخذ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سهل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الزجاج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الكرخي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النيسابوري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فارس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الأصبهاني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tl w:val="1"/>
        </w:rPr>
        <w:t xml:space="preserve">وتخرج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الخوارزمي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الجرجاني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القدوري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النسفي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الزعفراني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الكماري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أصحاب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حنيفة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وقته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مشهورا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بالزهد</w:t>
      </w:r>
      <w:r w:rsidDel="00000000" w:rsidR="00000000" w:rsidRPr="00000000">
        <w:rPr>
          <w:sz w:val="28"/>
          <w:szCs w:val="28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وخوطب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القضاء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فامتنع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الجصاص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الرازي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المصنفات</w:t>
      </w:r>
      <w:r w:rsidDel="00000000" w:rsidR="00000000" w:rsidRPr="00000000">
        <w:rPr>
          <w:sz w:val="28"/>
          <w:szCs w:val="28"/>
          <w:rtl w:val="1"/>
        </w:rPr>
        <w:t xml:space="preserve"> : ( </w:t>
      </w:r>
      <w:r w:rsidDel="00000000" w:rsidR="00000000" w:rsidRPr="00000000">
        <w:rPr>
          <w:sz w:val="28"/>
          <w:szCs w:val="28"/>
          <w:rtl w:val="1"/>
        </w:rPr>
        <w:t xml:space="preserve">أحكام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القرآن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التفسير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شرح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الطحاوي</w:t>
      </w:r>
      <w:r w:rsidDel="00000000" w:rsidR="00000000" w:rsidRPr="00000000">
        <w:rPr>
          <w:sz w:val="28"/>
          <w:szCs w:val="28"/>
          <w:rtl w:val="1"/>
        </w:rPr>
        <w:t xml:space="preserve"> ) ،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أصول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الفقه</w:t>
      </w:r>
      <w:r w:rsidDel="00000000" w:rsidR="00000000" w:rsidRPr="00000000">
        <w:rPr>
          <w:sz w:val="28"/>
          <w:szCs w:val="28"/>
          <w:rtl w:val="1"/>
        </w:rPr>
        <w:t xml:space="preserve"> ) 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وشرح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الكرخي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الحسني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مسائل</w:t>
      </w:r>
      <w:r w:rsidDel="00000000" w:rsidR="00000000" w:rsidRPr="00000000">
        <w:rPr>
          <w:rtl w:val="1"/>
        </w:rPr>
        <w:t xml:space="preserve"> ) . </w:t>
      </w:r>
      <w:r w:rsidDel="00000000" w:rsidR="00000000" w:rsidRPr="00000000">
        <w:rPr>
          <w:sz w:val="28"/>
          <w:szCs w:val="28"/>
          <w:rtl w:val="1"/>
        </w:rPr>
        <w:t xml:space="preserve">وكانت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( 370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rtl w:val="1"/>
        </w:rPr>
        <w:t xml:space="preserve">ببغداد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خمس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وستين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الخوارزمي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55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</w:p>
    <w:p w:rsidR="00000000" w:rsidDel="00000000" w:rsidP="00000000" w:rsidRDefault="00000000" w:rsidRPr="00000000" w14:paraId="0000005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الجصاص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الآلوسي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آن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وف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               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يب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ومذهبنا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الجصاص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الأحكام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الشهاب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والآلوسي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حربيات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الظاهر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...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الجصاص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الكراهة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وأصحابنا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يكرهون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مناكحة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الشهاب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والآلوسي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بسطه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الجصاص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فالصحيح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يلزم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الفساد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الليث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السمرقندي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B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السمرقندي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الملقب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الهدى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أئمة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الحنفية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المتصوفين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الهندواني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اشتهر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بكثرة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الأقوال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والتصانيف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المشهورة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وبستان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وخزانة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وعيون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وتنبيه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الغافلين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والنوازل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الفتاوى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وعمدة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العقائد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وفضائل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رمضان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والمقدمة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ورسالة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وفتاوى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وتراجم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ودقائق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وأهوال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الخلافيات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والشافعي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وشرعة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( 373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C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5D">
      <w:pPr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التعوذ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السمرقندي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التعوذ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الحزب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وتعوذ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ابتدأ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الفاتحة</w:t>
      </w:r>
      <w:r w:rsidDel="00000000" w:rsidR="00000000" w:rsidRPr="00000000">
        <w:rPr>
          <w:rtl w:val="1"/>
        </w:rPr>
        <w:t xml:space="preserve"> : "  </w:t>
      </w:r>
      <w:r w:rsidDel="00000000" w:rsidR="00000000" w:rsidRPr="00000000">
        <w:rPr>
          <w:rtl w:val="1"/>
        </w:rPr>
        <w:t xml:space="preserve">وحكى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السمرقندي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ونصفها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السمرقندي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وثابت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الألوسي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وذهب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المتكلمين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ينقص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واختاره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محتجين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للتصديق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والإذعان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فالمصدق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بالطاعات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ارتكب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فتصديقه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للطاعات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المتفاوتة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القلانسي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وجماعة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السمرقندي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الفضل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الساباذي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مردويه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العابد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عيسى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مطيع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المهزم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فقالوا</w:t>
      </w:r>
      <w:r w:rsidDel="00000000" w:rsidR="00000000" w:rsidRPr="00000000">
        <w:rPr>
          <w:rtl w:val="1"/>
        </w:rPr>
        <w:t xml:space="preserve"> 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وينقص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الإيمان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ونقصانه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كفر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6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الز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السمرقندي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المزابنة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يعلمون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بأرجلهم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يعملون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بأيديهم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2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28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صبر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</w:t>
      </w:r>
    </w:p>
    <w:p w:rsidR="00000000" w:rsidDel="00000000" w:rsidP="00000000" w:rsidRDefault="00000000" w:rsidRPr="00000000" w14:paraId="00000063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الحنفي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القضاء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بعسكر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المهدي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معتزليا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مشهورا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رأسا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خبيرا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الأدلة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17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( 380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</w:t>
      </w:r>
    </w:p>
    <w:p w:rsidR="00000000" w:rsidDel="00000000" w:rsidP="00000000" w:rsidRDefault="00000000" w:rsidRPr="00000000" w14:paraId="00000064">
      <w:pPr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5">
      <w:pPr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صبر</w:t>
      </w:r>
      <w:r w:rsidDel="00000000" w:rsidR="00000000" w:rsidRPr="00000000">
        <w:rPr>
          <w:rtl w:val="1"/>
        </w:rPr>
        <w:tab/>
        <w:tab/>
      </w:r>
      <w:r w:rsidDel="00000000" w:rsidR="00000000" w:rsidRPr="00000000">
        <w:rPr>
          <w:rtl w:val="1"/>
        </w:rPr>
        <w:t xml:space="preserve">وهب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ادعيت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صبر</w:t>
      </w:r>
    </w:p>
    <w:p w:rsidR="00000000" w:rsidDel="00000000" w:rsidP="00000000" w:rsidRDefault="00000000" w:rsidRPr="00000000" w14:paraId="00000066">
      <w:pPr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تطيلس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للقضاء</w:t>
      </w:r>
      <w:r w:rsidDel="00000000" w:rsidR="00000000" w:rsidRPr="00000000">
        <w:rPr>
          <w:rtl w:val="1"/>
        </w:rPr>
        <w:tab/>
        <w:tab/>
        <w:t xml:space="preserve">     </w:t>
      </w:r>
      <w:r w:rsidDel="00000000" w:rsidR="00000000" w:rsidRPr="00000000">
        <w:rPr>
          <w:rtl w:val="1"/>
        </w:rPr>
        <w:t xml:space="preserve">فمرحبا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العرر</w:t>
      </w:r>
    </w:p>
    <w:p w:rsidR="00000000" w:rsidDel="00000000" w:rsidP="00000000" w:rsidRDefault="00000000" w:rsidRPr="00000000" w14:paraId="00000067">
      <w:pPr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فقضاؤه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القضاء</w:t>
      </w:r>
      <w:r w:rsidDel="00000000" w:rsidR="00000000" w:rsidRPr="00000000">
        <w:rPr>
          <w:rtl w:val="1"/>
        </w:rPr>
        <w:tab/>
        <w:tab/>
        <w:t xml:space="preserve"> 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اعتزاله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إتمامه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69">
      <w:pPr>
        <w:bidi w:val="1"/>
        <w:contextualSpacing w:val="0"/>
        <w:jc w:val="right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29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شاهين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:</w:t>
      </w:r>
    </w:p>
    <w:p w:rsidR="00000000" w:rsidDel="00000000" w:rsidP="00000000" w:rsidRDefault="00000000" w:rsidRPr="00000000" w14:paraId="0000006A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حفص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واعظ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( 297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حفاظ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مسنده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وخمسمائة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جزء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مجلدا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الثقات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الشيوخ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الأفراد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ناسخ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ومنسوخه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الترغيب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الأعمال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( 385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B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6C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السيوطي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            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وأخرج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والديلمي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التوحيد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قطعة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ويتقاسمون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بأعمالهم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D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السيوطي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المغضوب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الضالين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E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السيوطي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والآلوسي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شاهين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صاحبي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الحوض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عاشوراء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حفص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عاشوراء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السيوطي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الترغيب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الثكلى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أظله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بظلي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1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30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جرو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:</w:t>
      </w:r>
    </w:p>
    <w:p w:rsidR="00000000" w:rsidDel="00000000" w:rsidP="00000000" w:rsidRDefault="00000000" w:rsidRPr="00000000" w14:paraId="00000072">
      <w:pPr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العروضي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المعتزلي</w:t>
      </w:r>
      <w:r w:rsidDel="00000000" w:rsidR="00000000" w:rsidRPr="00000000">
        <w:rPr>
          <w:rtl w:val="1"/>
        </w:rPr>
        <w:t xml:space="preserve">  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الموصل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المرزباني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السيرافي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الفتح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حاذقا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الضبط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عارفا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لعضد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يلثغ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ذبابة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لسانك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لتدفعه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فاستقام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إخراج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مخرجها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tl w:val="1"/>
        </w:rPr>
        <w:t xml:space="preserve">وصنف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وعشرين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الموضح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العروض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المفصح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القوافي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tl w:val="1"/>
        </w:rPr>
        <w:t xml:space="preserve">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( 387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26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74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31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أبو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الفرج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الشنبوذي</w:t>
      </w:r>
      <w:r w:rsidDel="00000000" w:rsidR="00000000" w:rsidRPr="00000000">
        <w:rPr>
          <w:sz w:val="28"/>
          <w:szCs w:val="28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ميمون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الشنبوذي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الشطوي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البغدادي</w:t>
      </w:r>
      <w:r w:rsidDel="00000000" w:rsidR="00000000" w:rsidRPr="00000000">
        <w:rPr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أستاذ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أئمة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الشيوخ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وتبحر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تلميذ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شنبوذ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ويعرف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الشنبوذي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قرأ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النقاش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الماوردي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الآدمي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التمار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الزينبي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الخاقاني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وتصدر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للإقراء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الترحال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المقرئين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الأهوازي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والهيثم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الصباغ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الواسطي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الكارزيني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الخياط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الرهاوي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ومنصور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العراقي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الدلال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الجوزداني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ومؤلفا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ووجوه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حفظ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الشعر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شواهد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للقرآن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مشهور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ضابط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نبيل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حاذق</w:t>
      </w:r>
      <w:r w:rsidDel="00000000" w:rsidR="00000000" w:rsidRPr="00000000">
        <w:rPr>
          <w:sz w:val="28"/>
          <w:szCs w:val="28"/>
          <w:rtl w:val="1"/>
        </w:rPr>
        <w:br w:type="textWrapping"/>
      </w:r>
      <w:r w:rsidDel="00000000" w:rsidR="00000000" w:rsidRPr="00000000">
        <w:rPr>
          <w:sz w:val="28"/>
          <w:szCs w:val="28"/>
          <w:rtl w:val="1"/>
        </w:rPr>
        <w:t xml:space="preserve">وقال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الخطيب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تكلم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روايته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الدارقطني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مولده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( 300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 . </w:t>
      </w:r>
      <w:r w:rsidDel="00000000" w:rsidR="00000000" w:rsidRPr="00000000">
        <w:rPr>
          <w:sz w:val="28"/>
          <w:szCs w:val="28"/>
          <w:rtl w:val="1"/>
        </w:rPr>
        <w:t xml:space="preserve">ووفاته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( 388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7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الشنبوذي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التفاسير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7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الجزري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الشنبوذي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المستنير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النهري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المذكور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المبهج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الخياط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الكارزيني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الكارزيني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والسواق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الشنبوذي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العسكري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7A">
      <w:pPr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هلال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مهران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بالأدب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نسبته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عسكر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مكرم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الأهواز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التلخيص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معجم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جمهرة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الأمثال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الصناعيتن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النظم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والنثر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الحماسة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الأوائل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العمدة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تلحن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المحاسن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خمس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مجلدات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احتكم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الخلفاء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القضاة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،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الأشياء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وصفاتها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العطاء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والدينار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ديوان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ديوان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ياقوت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يبلغني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وجدت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الأوائل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تصنيفه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وفرغنا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إملاء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الأربعاء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شعبان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خمس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وتسعين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وثلاثمائة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بأقواله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7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يجمعكم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قهرا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وخلقكم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ليعذب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معصيته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ويثيب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طاعته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يستحقه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يسمى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الحقيقة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البروسوي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هلال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يتعلق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بالمكروه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المكروه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خفت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وخفت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والخشية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تتعلق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المكروه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يسمى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المكروه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خشية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ويخشون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ويخافون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انتهى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وسوء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قريبا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والخوف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المنازل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وأنفعها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البقاعي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هلال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وصفاتها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الرياح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الشمال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تجيء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يمينك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استقبلت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مطالع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الشمس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الصيفية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وبنات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والجنوب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تقابلها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والصبا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مطلع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الشمس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القبول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والدبور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تقابلها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النعامى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والأرنب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387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Simplified Arabic"/>
  <w:font w:name="Calibri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12/ 16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389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وإنباه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2/294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1/331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2/136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344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الوفيات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للصحابة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المحدثين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والفقهاء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قنفذ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القسنطيني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كلكتة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1/443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ومفتاح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1/142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1/81 .</w:t>
      </w:r>
    </w:p>
  </w:footnote>
  <w:footnote w:id="1"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2"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180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وحاشية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103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4/198 . 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34 .</w:t>
      </w:r>
    </w:p>
  </w:footnote>
  <w:footnote w:id="4"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4/113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7/137 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36 .</w:t>
      </w:r>
    </w:p>
  </w:footnote>
  <w:footnote w:id="6"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12/209 .</w:t>
      </w:r>
    </w:p>
  </w:footnote>
  <w:footnote w:id="7"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48 .</w:t>
      </w:r>
    </w:p>
  </w:footnote>
  <w:footnote w:id="8"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 213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505 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200 .</w:t>
      </w:r>
    </w:p>
  </w:footnote>
  <w:footnote w:id="10"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7/42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19/ 128 .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37 .</w:t>
      </w:r>
    </w:p>
  </w:footnote>
  <w:footnote w:id="12"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152،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27/38 .</w:t>
      </w:r>
      <w:r w:rsidDel="00000000" w:rsidR="00000000" w:rsidRPr="00000000">
        <w:rPr>
          <w:rtl w:val="0"/>
        </w:rPr>
      </w:r>
    </w:p>
  </w:footnote>
  <w:footnote w:id="13"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32 .</w:t>
      </w:r>
    </w:p>
  </w:footnote>
  <w:footnote w:id="14"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164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27/61 .</w:t>
      </w:r>
      <w:r w:rsidDel="00000000" w:rsidR="00000000" w:rsidRPr="00000000">
        <w:rPr>
          <w:rtl w:val="0"/>
        </w:rPr>
      </w:r>
    </w:p>
  </w:footnote>
  <w:footnote w:id="15"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58 .</w:t>
      </w:r>
    </w:p>
  </w:footnote>
  <w:footnote w:id="16"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170.</w:t>
      </w:r>
      <w:r w:rsidDel="00000000" w:rsidR="00000000" w:rsidRPr="00000000">
        <w:rPr>
          <w:rtl w:val="0"/>
        </w:rPr>
      </w:r>
    </w:p>
  </w:footnote>
  <w:footnote w:id="17"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10 .</w:t>
      </w:r>
    </w:p>
  </w:footnote>
  <w:footnote w:id="18"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305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19/ 267 .</w:t>
      </w:r>
      <w:r w:rsidDel="00000000" w:rsidR="00000000" w:rsidRPr="00000000">
        <w:rPr>
          <w:rtl w:val="0"/>
        </w:rPr>
      </w:r>
    </w:p>
  </w:footnote>
  <w:footnote w:id="19"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21 / 54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15/398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3/876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73 .</w:t>
      </w:r>
    </w:p>
  </w:footnote>
  <w:footnote w:id="20"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1/676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2/259 .</w:t>
      </w:r>
      <w:r w:rsidDel="00000000" w:rsidR="00000000" w:rsidRPr="00000000">
        <w:rPr>
          <w:rtl w:val="0"/>
        </w:rPr>
      </w:r>
    </w:p>
  </w:footnote>
  <w:footnote w:id="21"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22"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3/642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</w:footnote>
  <w:footnote w:id="23"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26 . </w:t>
      </w:r>
    </w:p>
  </w:footnote>
  <w:footnote w:id="24"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125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126 . </w:t>
      </w:r>
      <w:r w:rsidDel="00000000" w:rsidR="00000000" w:rsidRPr="00000000">
        <w:rPr>
          <w:rtl w:val="0"/>
        </w:rPr>
      </w:r>
    </w:p>
  </w:footnote>
  <w:footnote w:id="25"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إنباه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والبداية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11/222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والنجوم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3/300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آداب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182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1/460. </w:t>
      </w:r>
    </w:p>
  </w:footnote>
  <w:footnote w:id="26"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222 .</w:t>
      </w:r>
    </w:p>
  </w:footnote>
  <w:footnote w:id="27"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1/225 .</w:t>
      </w:r>
    </w:p>
  </w:footnote>
  <w:footnote w:id="28"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106. </w:t>
      </w:r>
    </w:p>
  </w:footnote>
  <w:footnote w:id="29"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1/511 .</w:t>
      </w:r>
    </w:p>
  </w:footnote>
  <w:footnote w:id="30"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58 .</w:t>
      </w:r>
    </w:p>
  </w:footnote>
  <w:footnote w:id="31"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1/389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3/153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1/416 .</w:t>
      </w:r>
    </w:p>
  </w:footnote>
  <w:footnote w:id="32"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151 .</w:t>
      </w:r>
    </w:p>
  </w:footnote>
  <w:footnote w:id="33"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7/75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والمنسوخ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445. </w:t>
      </w:r>
      <w:r w:rsidDel="00000000" w:rsidR="00000000" w:rsidRPr="00000000">
        <w:rPr>
          <w:rtl w:val="0"/>
        </w:rPr>
      </w:r>
    </w:p>
  </w:footnote>
  <w:footnote w:id="34"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124 .</w:t>
      </w:r>
    </w:p>
  </w:footnote>
  <w:footnote w:id="35"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4/187 .</w:t>
      </w:r>
    </w:p>
  </w:footnote>
  <w:footnote w:id="36"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43 .</w:t>
      </w:r>
    </w:p>
  </w:footnote>
  <w:footnote w:id="37"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51 .</w:t>
      </w:r>
    </w:p>
  </w:footnote>
  <w:footnote w:id="38"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6/498 .</w:t>
      </w:r>
    </w:p>
  </w:footnote>
  <w:footnote w:id="39"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مجالس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3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201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498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306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ومفتاح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1/416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1/1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2/50. </w:t>
      </w:r>
    </w:p>
  </w:footnote>
  <w:footnote w:id="40"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80. </w:t>
      </w:r>
    </w:p>
  </w:footnote>
  <w:footnote w:id="41"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 .</w:t>
      </w:r>
    </w:p>
  </w:footnote>
  <w:footnote w:id="42"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238 .</w:t>
      </w:r>
    </w:p>
  </w:footnote>
  <w:footnote w:id="43"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3/312 .</w:t>
      </w:r>
    </w:p>
  </w:footnote>
  <w:footnote w:id="44"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140. </w:t>
      </w:r>
    </w:p>
  </w:footnote>
  <w:footnote w:id="45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9/13 .</w:t>
      </w:r>
    </w:p>
  </w:footnote>
  <w:footnote w:id="46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105 .</w:t>
      </w:r>
    </w:p>
  </w:footnote>
  <w:footnote w:id="47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7/213 .</w:t>
      </w:r>
    </w:p>
  </w:footnote>
  <w:footnote w:id="48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29 .</w:t>
      </w:r>
    </w:p>
  </w:footnote>
  <w:footnote w:id="49"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6/245 .</w:t>
      </w:r>
    </w:p>
  </w:footnote>
  <w:footnote w:id="50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51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7/39 .</w:t>
      </w:r>
    </w:p>
  </w:footnote>
  <w:footnote w:id="52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6 .</w:t>
      </w:r>
    </w:p>
  </w:footnote>
  <w:footnote w:id="53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4/162. </w:t>
      </w:r>
    </w:p>
  </w:footnote>
  <w:footnote w:id="54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الحنابلة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 26 - 30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1/500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 / 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5/268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86 .</w:t>
      </w:r>
      <w:r w:rsidDel="00000000" w:rsidR="00000000" w:rsidRPr="00000000">
        <w:rPr>
          <w:rtl w:val="0"/>
        </w:rPr>
      </w:r>
    </w:p>
  </w:footnote>
  <w:footnote w:id="55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56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1/116 .</w:t>
      </w:r>
    </w:p>
  </w:footnote>
  <w:footnote w:id="57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</w:t>
      </w:r>
    </w:p>
  </w:footnote>
  <w:footnote w:id="58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59"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22 .</w:t>
      </w:r>
    </w:p>
  </w:footnote>
  <w:footnote w:id="60"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61"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9/428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356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1/251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279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1/75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44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101،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.</w:t>
      </w:r>
    </w:p>
  </w:footnote>
  <w:footnote w:id="62"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 .</w:t>
      </w:r>
    </w:p>
  </w:footnote>
  <w:footnote w:id="63"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60. </w:t>
      </w:r>
    </w:p>
  </w:footnote>
  <w:footnote w:id="64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1/391 .</w:t>
      </w:r>
    </w:p>
  </w:footnote>
  <w:footnote w:id="65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177 .</w:t>
      </w:r>
    </w:p>
  </w:footnote>
  <w:footnote w:id="66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3/191. </w:t>
      </w:r>
    </w:p>
  </w:footnote>
  <w:footnote w:id="67"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25 .</w:t>
      </w:r>
    </w:p>
  </w:footnote>
  <w:footnote w:id="68"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7/126 .</w:t>
      </w:r>
    </w:p>
  </w:footnote>
  <w:footnote w:id="69"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23 .</w:t>
      </w:r>
    </w:p>
  </w:footnote>
  <w:footnote w:id="70"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65 .</w:t>
      </w:r>
    </w:p>
  </w:footnote>
  <w:footnote w:id="71"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493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19/7 .</w:t>
      </w:r>
    </w:p>
  </w:footnote>
  <w:footnote w:id="72"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35 .</w:t>
      </w:r>
    </w:p>
  </w:footnote>
  <w:footnote w:id="73"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3/242 .</w:t>
      </w:r>
    </w:p>
  </w:footnote>
  <w:footnote w:id="74"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45 .</w:t>
      </w:r>
    </w:p>
  </w:footnote>
  <w:footnote w:id="75"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9/201 .</w:t>
      </w:r>
    </w:p>
  </w:footnote>
  <w:footnote w:id="76"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20 .</w:t>
      </w:r>
    </w:p>
  </w:footnote>
  <w:footnote w:id="77"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12/116 .</w:t>
      </w:r>
    </w:p>
  </w:footnote>
  <w:footnote w:id="78"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:6 / 496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2/119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45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145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2/1050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1/94 .  </w:t>
      </w:r>
    </w:p>
  </w:footnote>
  <w:footnote w:id="79"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19 .</w:t>
      </w:r>
      <w:r w:rsidDel="00000000" w:rsidR="00000000" w:rsidRPr="00000000">
        <w:rPr>
          <w:rtl w:val="0"/>
        </w:rPr>
      </w:r>
    </w:p>
  </w:footnote>
  <w:footnote w:id="80"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1/219 .</w:t>
      </w:r>
      <w:r w:rsidDel="00000000" w:rsidR="00000000" w:rsidRPr="00000000">
        <w:rPr>
          <w:rtl w:val="0"/>
        </w:rPr>
      </w:r>
    </w:p>
  </w:footnote>
  <w:footnote w:id="81"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286 .</w:t>
      </w:r>
      <w:r w:rsidDel="00000000" w:rsidR="00000000" w:rsidRPr="00000000">
        <w:rPr>
          <w:rtl w:val="0"/>
        </w:rPr>
      </w:r>
    </w:p>
  </w:footnote>
  <w:footnote w:id="82"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1/438 .</w:t>
      </w:r>
    </w:p>
  </w:footnote>
  <w:footnote w:id="83"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55 .</w:t>
      </w:r>
      <w:r w:rsidDel="00000000" w:rsidR="00000000" w:rsidRPr="00000000">
        <w:rPr>
          <w:rtl w:val="0"/>
        </w:rPr>
      </w:r>
    </w:p>
  </w:footnote>
  <w:footnote w:id="84"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3/513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6/168 .</w:t>
      </w:r>
    </w:p>
  </w:footnote>
  <w:footnote w:id="85"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34 .</w:t>
      </w:r>
    </w:p>
  </w:footnote>
  <w:footnote w:id="86"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1/375 .</w:t>
      </w:r>
    </w:p>
  </w:footnote>
  <w:footnote w:id="87"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65 .</w:t>
      </w:r>
    </w:p>
  </w:footnote>
  <w:footnote w:id="88"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5/168 . </w:t>
      </w:r>
    </w:p>
  </w:footnote>
  <w:footnote w:id="89"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41 .</w:t>
      </w:r>
    </w:p>
  </w:footnote>
  <w:footnote w:id="90"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4/54 .</w:t>
      </w:r>
    </w:p>
  </w:footnote>
  <w:footnote w:id="91"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33 .</w:t>
      </w:r>
    </w:p>
  </w:footnote>
  <w:footnote w:id="92"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8/36 .</w:t>
      </w:r>
    </w:p>
  </w:footnote>
  <w:footnote w:id="93"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2/171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16/92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3/125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ومرآة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للسبكي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131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رئاسة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418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:11 /259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5/112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16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437 .</w:t>
      </w:r>
    </w:p>
  </w:footnote>
  <w:footnote w:id="94"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131 .</w:t>
      </w:r>
    </w:p>
  </w:footnote>
  <w:footnote w:id="95"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1/446 . </w:t>
      </w:r>
    </w:p>
  </w:footnote>
  <w:footnote w:id="96"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190 .</w:t>
      </w:r>
    </w:p>
  </w:footnote>
  <w:footnote w:id="97"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191 .</w:t>
      </w:r>
    </w:p>
  </w:footnote>
  <w:footnote w:id="98"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4/157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2/386 .</w:t>
      </w:r>
      <w:r w:rsidDel="00000000" w:rsidR="00000000" w:rsidRPr="00000000">
        <w:rPr>
          <w:rtl w:val="0"/>
        </w:rPr>
      </w:r>
    </w:p>
  </w:footnote>
  <w:footnote w:id="99"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67 .</w:t>
      </w:r>
    </w:p>
  </w:footnote>
  <w:footnote w:id="100"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5/511 .</w:t>
      </w:r>
    </w:p>
  </w:footnote>
  <w:footnote w:id="101"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42 .</w:t>
      </w:r>
    </w:p>
  </w:footnote>
  <w:footnote w:id="102"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3/222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3/99 .</w:t>
      </w:r>
    </w:p>
  </w:footnote>
  <w:footnote w:id="103"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ويتيمة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محاسن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الثعالبي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1357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وإبناه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1/324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1/237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2/267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231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آداب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104"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8 .</w:t>
      </w:r>
    </w:p>
  </w:footnote>
  <w:footnote w:id="105"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1/179 .</w:t>
      </w:r>
    </w:p>
  </w:footnote>
  <w:footnote w:id="106"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89 .</w:t>
      </w:r>
    </w:p>
  </w:footnote>
  <w:footnote w:id="107"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4/57 .</w:t>
      </w:r>
    </w:p>
  </w:footnote>
  <w:footnote w:id="108"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69 .</w:t>
      </w:r>
    </w:p>
  </w:footnote>
  <w:footnote w:id="109"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5/101 .</w:t>
      </w:r>
    </w:p>
  </w:footnote>
  <w:footnote w:id="110"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112 .</w:t>
      </w:r>
    </w:p>
  </w:footnote>
  <w:footnote w:id="111"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73 .</w:t>
      </w:r>
    </w:p>
  </w:footnote>
  <w:footnote w:id="112"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3/102 .</w:t>
      </w:r>
    </w:p>
  </w:footnote>
  <w:footnote w:id="113"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3/531 .</w:t>
      </w:r>
    </w:p>
  </w:footnote>
  <w:footnote w:id="114"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180. </w:t>
      </w:r>
    </w:p>
  </w:footnote>
  <w:footnote w:id="115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4/1. </w:t>
      </w:r>
    </w:p>
  </w:footnote>
  <w:footnote w:id="116"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35 .</w:t>
      </w:r>
    </w:p>
  </w:footnote>
  <w:footnote w:id="117"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4/1. </w:t>
      </w:r>
    </w:p>
  </w:footnote>
  <w:footnote w:id="118"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11/256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والجواهر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المضية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1/84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لطاش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أفاضل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بمنق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1395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66-67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879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1 / 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الحنفية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1  1324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28 .</w:t>
      </w:r>
    </w:p>
  </w:footnote>
  <w:footnote w:id="119"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180 .</w:t>
      </w:r>
    </w:p>
  </w:footnote>
  <w:footnote w:id="120"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2/20. </w:t>
      </w:r>
    </w:p>
  </w:footnote>
  <w:footnote w:id="121"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6 .</w:t>
      </w:r>
    </w:p>
  </w:footnote>
  <w:footnote w:id="122"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4/208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 243 .</w:t>
      </w:r>
      <w:r w:rsidDel="00000000" w:rsidR="00000000" w:rsidRPr="00000000">
        <w:rPr>
          <w:rtl w:val="0"/>
        </w:rPr>
      </w:r>
    </w:p>
  </w:footnote>
  <w:footnote w:id="123"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</w:t>
      </w:r>
    </w:p>
  </w:footnote>
  <w:footnote w:id="124"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3/219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6/66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3/326</w:t>
      </w:r>
      <w:r w:rsidDel="00000000" w:rsidR="00000000" w:rsidRPr="00000000">
        <w:rPr>
          <w:rtl w:val="0"/>
        </w:rPr>
      </w:r>
    </w:p>
  </w:footnote>
  <w:footnote w:id="125"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28 .</w:t>
      </w:r>
    </w:p>
  </w:footnote>
  <w:footnote w:id="126"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 / 234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6/112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4/45. </w:t>
      </w:r>
      <w:r w:rsidDel="00000000" w:rsidR="00000000" w:rsidRPr="00000000">
        <w:rPr>
          <w:rtl w:val="0"/>
        </w:rPr>
      </w:r>
    </w:p>
  </w:footnote>
  <w:footnote w:id="127"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المضية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 /196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للداودي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227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والفوائد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البهية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               1/ 220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6/490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128"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88 .</w:t>
      </w:r>
      <w:r w:rsidDel="00000000" w:rsidR="00000000" w:rsidRPr="00000000">
        <w:rPr>
          <w:rtl w:val="0"/>
        </w:rPr>
      </w:r>
    </w:p>
  </w:footnote>
  <w:footnote w:id="129"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 .</w:t>
      </w:r>
    </w:p>
  </w:footnote>
  <w:footnote w:id="130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66 .</w:t>
      </w:r>
    </w:p>
  </w:footnote>
  <w:footnote w:id="131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3/297 .</w:t>
      </w:r>
    </w:p>
  </w:footnote>
  <w:footnote w:id="132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133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9/166 .</w:t>
      </w:r>
    </w:p>
  </w:footnote>
  <w:footnote w:id="134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18 .</w:t>
      </w:r>
    </w:p>
  </w:footnote>
  <w:footnote w:id="135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15/423. </w:t>
      </w:r>
    </w:p>
  </w:footnote>
  <w:footnote w:id="136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5 / 255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صرد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102-103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137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11/ 265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1/588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4/283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3/183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والرسالة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المستطرفة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5/781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7/273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138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2 .</w:t>
      </w:r>
      <w:r w:rsidDel="00000000" w:rsidR="00000000" w:rsidRPr="00000000">
        <w:rPr>
          <w:rtl w:val="0"/>
        </w:rPr>
      </w:r>
    </w:p>
  </w:footnote>
  <w:footnote w:id="139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1/32 .</w:t>
      </w:r>
    </w:p>
  </w:footnote>
  <w:footnote w:id="140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1/45 .</w:t>
      </w:r>
    </w:p>
  </w:footnote>
  <w:footnote w:id="141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40 .</w:t>
      </w:r>
    </w:p>
  </w:footnote>
  <w:footnote w:id="142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4/199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10/384 .</w:t>
      </w:r>
    </w:p>
  </w:footnote>
  <w:footnote w:id="143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20/194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15/489.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:1/20. </w:t>
      </w:r>
    </w:p>
  </w:footnote>
  <w:footnote w:id="144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138 .</w:t>
      </w:r>
    </w:p>
  </w:footnote>
  <w:footnote w:id="145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3/540. </w:t>
      </w:r>
    </w:p>
  </w:footnote>
  <w:footnote w:id="146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643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2/80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19 / 266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4 / 115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 /51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 / 125 .</w:t>
      </w:r>
      <w:r w:rsidDel="00000000" w:rsidR="00000000" w:rsidRPr="00000000">
        <w:rPr>
          <w:rtl w:val="0"/>
        </w:rPr>
      </w:r>
    </w:p>
  </w:footnote>
  <w:footnote w:id="147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 / 123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 / 297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            2 / 29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 / 462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 / 336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1/95 .</w:t>
      </w:r>
    </w:p>
  </w:footnote>
  <w:footnote w:id="148"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1/147 .</w:t>
      </w:r>
    </w:p>
  </w:footnote>
  <w:footnote w:id="149"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3/ 135 - 139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6/177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1299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 /112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1/453 .</w:t>
      </w:r>
      <w:r w:rsidDel="00000000" w:rsidR="00000000" w:rsidRPr="00000000">
        <w:rPr>
          <w:rtl w:val="0"/>
        </w:rPr>
      </w:r>
    </w:p>
  </w:footnote>
  <w:footnote w:id="150"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93 .</w:t>
      </w:r>
    </w:p>
  </w:footnote>
  <w:footnote w:id="151"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5/515. </w:t>
      </w:r>
    </w:p>
  </w:footnote>
  <w:footnote w:id="152"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111 .</w:t>
      </w:r>
    </w:p>
  </w:footnote>
  <w:footnote w:id="153"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5/523. </w:t>
      </w:r>
    </w:p>
  </w:footnote>
  <w:footnote w:id="154"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21 .</w:t>
      </w:r>
    </w:p>
  </w:footnote>
  <w:footnote w:id="155"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50. </w:t>
      </w:r>
    </w:p>
  </w:footnote>
  <w:footnote w:id="156"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4/239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ضبطه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وحققه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200 .</w:t>
      </w:r>
    </w:p>
  </w:footnote>
  <w:footnote w:id="157"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63 .</w:t>
      </w:r>
    </w:p>
  </w:footnote>
  <w:footnote w:id="158"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5/440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