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الث</w:t>
      </w:r>
      <w:r w:rsidDel="00000000" w:rsidR="00000000" w:rsidRPr="00000000">
        <w:rPr>
          <w:sz w:val="40"/>
          <w:szCs w:val="40"/>
          <w:rtl w:val="1"/>
        </w:rPr>
        <w:t xml:space="preserve">َّ</w:t>
      </w:r>
      <w:r w:rsidDel="00000000" w:rsidR="00000000" w:rsidRPr="00000000">
        <w:rPr>
          <w:sz w:val="40"/>
          <w:szCs w:val="40"/>
          <w:rtl w:val="1"/>
        </w:rPr>
        <w:t xml:space="preserve">ان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ي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أبرز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المفسرين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العراقيين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هذا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القرن</w:t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طائفة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مفسري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وأبرزهم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وأكثرهم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بهم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 </w:t>
      </w:r>
      <w:r w:rsidDel="00000000" w:rsidR="00000000" w:rsidRPr="00000000">
        <w:rPr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أبو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جعفر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البغدادي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العسكري</w:t>
      </w:r>
      <w:r w:rsidDel="00000000" w:rsidR="00000000" w:rsidRPr="00000000">
        <w:rPr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جبريل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جعفر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البغدادي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العسكري</w:t>
      </w:r>
      <w:r w:rsidDel="00000000" w:rsidR="00000000" w:rsidRPr="00000000">
        <w:rPr>
          <w:sz w:val="28"/>
          <w:szCs w:val="28"/>
          <w:rtl w:val="1"/>
        </w:rPr>
        <w:br w:type="textWrapping"/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الضرير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المقرىء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المفسر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قرأ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الدوري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وأقرأ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المديني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وعثمان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شيبة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الربيع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الزهراني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وعنه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جعفر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سمعان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الرزاز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بالقرآن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بصيرا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بالتفسير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قرأ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محرز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القزاز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النقاش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الواحد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المطوعي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وآخرون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وحدث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الرزاز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تصدر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للإفادة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صيته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واشتهر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لسعة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مأمون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توفي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بالكوفة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( 303 )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05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المفسرون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الاستشهاد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بأقواله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استشهدوا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قراءات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استشهاداتهم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بأقواله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البروسوي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البغدادي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خصال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العجلة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الأغنياء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المشايخ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اللؤم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الأحساب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بالتوحيد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يقطع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مذموم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بقراءاته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الضحى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الجزري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بإسناده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انقطع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الوحى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المشركون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والضحى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والضحى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خاتمة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الجبائي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</w:t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الوهاب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المعتزلي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المؤرخين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عبدالوهاب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والصحيح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خوزستان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والأهواز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( 235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أولاده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هاشم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اتبعته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طائفته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بالبهشمية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المعتزلة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وشيخهم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ووصفه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المؤرخين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وقالوا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: "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</w:t>
      </w:r>
      <w:r w:rsidDel="00000000" w:rsidR="00000000" w:rsidRPr="00000000">
        <w:rPr>
          <w:rtl w:val="1"/>
        </w:rPr>
        <w:t xml:space="preserve"> " ، </w:t>
      </w:r>
      <w:r w:rsidDel="00000000" w:rsidR="00000000" w:rsidRPr="00000000">
        <w:rPr>
          <w:color w:val="000000"/>
          <w:rtl w:val="1"/>
        </w:rPr>
        <w:t xml:space="preserve">وش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بالنبوغ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المبكر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وخاض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مسائل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غلام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الطبقة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الثامنة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طبقات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المعتزلة</w:t>
      </w:r>
      <w:r w:rsidDel="00000000" w:rsidR="00000000" w:rsidRPr="00000000">
        <w:rPr>
          <w:color w:val="000000"/>
          <w:rtl w:val="1"/>
        </w:rPr>
        <w:t xml:space="preserve"> .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غزير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الإنتاج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المصنفات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الأصول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المنكر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والتجويز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الاجتهاد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والصفات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الراوندي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المنجمين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يكفر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color w:val="000000"/>
          <w:rtl w:val="0"/>
        </w:rPr>
        <w:t xml:space="preserve"> ،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ألفاظه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ومعانيه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والمخلوق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وإليه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نسبت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الطائفة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ائية</w:t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مقالات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وآراء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انفرد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المذهب</w:t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وكانت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مناظرة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الأشعري</w:t>
      </w:r>
      <w:r w:rsidDel="00000000" w:rsidR="00000000" w:rsidRPr="00000000">
        <w:rPr>
          <w:color w:val="000000"/>
          <w:rtl w:val="1"/>
        </w:rPr>
        <w:t xml:space="preserve"> 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بقوله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متوسعا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وسهله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                 ( 303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ودفن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بجبى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مطول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اختيارات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وكأن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جباء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المصرية</w:t>
      </w:r>
      <w:r w:rsidDel="00000000" w:rsidR="00000000" w:rsidRPr="00000000">
        <w:rPr>
          <w:rtl w:val="1"/>
        </w:rPr>
        <w:t xml:space="preserve">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376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ff0000"/>
        </w:rPr>
      </w:pP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الكوكب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وخلقه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المنجمين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الكواكب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بأنفسها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فاجتاز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بعسكر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المنجمون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المولود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عاهة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فخرجت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الدخول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المولود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ويؤذن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أحنف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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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منقطع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منقطعا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الاستثناء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التحريم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حر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بالتذكية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وجماعة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الجبائي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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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الفائدة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إتيانه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الصواب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والخطأ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والتقوى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بإتيان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وجوهها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الوجوه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وحسنت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وظهورها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وأبوابها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وجهه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كالعادل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بابه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color w:val="000000"/>
          <w:rtl w:val="1"/>
        </w:rPr>
        <w:t xml:space="preserve">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0"/>
        </w:rPr>
        <w:t xml:space="preserve">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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ذهب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الجبائي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المعنى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محالة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المتأول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والمتأول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تعلمه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الساعة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ومقادير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والعقاب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وتعيين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الصغائر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فكأنه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تأويل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ذكرناه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آمنا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المفسرون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بالاستشهاد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بأقواله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المعتزلة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أقواله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التفسير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تعالى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دين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ياسين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المؤمنين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وقيل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آل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زيادة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سلام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محمد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وقيل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ياسين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فصار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كقولك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سلام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القرآن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حكاه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الجبائي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تعالى</w:t>
      </w:r>
      <w:r w:rsidDel="00000000" w:rsidR="00000000" w:rsidRPr="00000000">
        <w:rPr>
          <w:sz w:val="28"/>
          <w:szCs w:val="28"/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الذ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الشوكاني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sz w:val="28"/>
          <w:szCs w:val="28"/>
          <w:rtl w:val="1"/>
        </w:rPr>
        <w:t xml:space="preserve">وهذه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قريش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زعموا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سبحانه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يرسل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رسولا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البشر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فرد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عادته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وسنته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يرسل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رجالا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البشر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يوحى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إليهم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وزعم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الجبائي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معنى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سبحانه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يرسل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الأنبياء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بوحيه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الملائكة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ويرد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جبريل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يأتي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رسول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مختلفة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المفسرين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الطبرسي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نقولاته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تعالى</w:t>
      </w:r>
      <w:r w:rsidDel="00000000" w:rsidR="00000000" w:rsidRPr="00000000">
        <w:rPr>
          <w:sz w:val="28"/>
          <w:szCs w:val="28"/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الأئمة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المعصومون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والجبائي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السرايا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والولاة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وقتادة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الملازمون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[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]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سألوه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حقيقة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أرجفوا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لعلموه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واختاره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الجبائي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3 </w:t>
      </w:r>
      <w:r w:rsidDel="00000000" w:rsidR="00000000" w:rsidRPr="00000000">
        <w:rPr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مفضل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سلمة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الضبي</w:t>
      </w:r>
      <w:r w:rsidDel="00000000" w:rsidR="00000000" w:rsidRPr="00000000">
        <w:rPr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مفضل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سلمة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عاصم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الضبي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اللغوي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الفاضل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طالب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شافعي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صاحب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التصانيف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فنون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القرآن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توفي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شابا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( 308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نقولات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للمفسرون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ويبدو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توفيه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شابا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أحد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جرير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الطبري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المؤرخ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الإطلاق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حافظا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بصيرا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بالمعاني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فقيها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بالسنن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وطرقها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وسقيمها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ناسخها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ومنسوخها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عالما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بأحوال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والتابعين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بصيرا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وأخبارهم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طبقات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طبرستان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( 224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واستوطن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( 310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tl w:val="1"/>
        </w:rPr>
        <w:t xml:space="preserve">واجتمع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جنازته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يحصون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ورثاه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سمع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منيع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كريب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وهناد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السري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ويونس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الأعلى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وغيرهم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وروى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الطبراني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وطائفة</w:t>
      </w:r>
      <w:r w:rsidDel="00000000" w:rsidR="00000000" w:rsidRPr="00000000">
        <w:rPr>
          <w:sz w:val="28"/>
          <w:szCs w:val="28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القضاء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والمظالم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فامتنع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شافعيا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وأقاويل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واختيارات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أتباع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ومقلدون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الرسل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والملوك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والمسترشد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وجزء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الاعتقاد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وقيل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مكث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جرير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أربعين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أربعين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ورقة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مجتهدا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أحكام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وعملوا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وآرائه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فصيحا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يخلو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مفسرا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قارئا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اختلف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الفقهاء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العمرة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وليست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بفريضة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واجبة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الشافعي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القديم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اختيار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واحتجوا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بقراءة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الشعبي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رفعا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الماوردي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"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تحمله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الملائكة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ترونه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عيانا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ويقولون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بالتابوت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وبالركن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واختلفوا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ووهب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العمالقة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غلبوا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إسرائيل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يوشع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وبلغني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التابوت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وعصا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وبحيرة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يخرجان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يأمرهم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يكونوا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حجارة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حديدا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يقدرون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قطعا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؟ </w:t>
      </w:r>
    </w:p>
    <w:p w:rsidR="00000000" w:rsidDel="00000000" w:rsidP="00000000" w:rsidRDefault="00000000" w:rsidRPr="00000000" w14:paraId="0000001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والجواب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تعجيز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إلزام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استشعروا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قلوبكم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حجارة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تفوتوني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اللحم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والعظم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بعثتم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آل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خبرك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1D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5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</w:t>
      </w:r>
    </w:p>
    <w:p w:rsidR="00000000" w:rsidDel="00000000" w:rsidP="00000000" w:rsidRDefault="00000000" w:rsidRPr="00000000" w14:paraId="0000001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إسحاق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إبراهيم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سهل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الزجاج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البغدادي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صاحب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التصانيف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القرآن</w:t>
      </w:r>
      <w:r w:rsidDel="00000000" w:rsidR="00000000" w:rsidRPr="00000000">
        <w:rPr>
          <w:sz w:val="24"/>
          <w:szCs w:val="24"/>
          <w:rtl w:val="1"/>
        </w:rPr>
        <w:t xml:space="preserve"> ،</w:t>
      </w:r>
      <w:r w:rsidDel="00000000" w:rsidR="00000000" w:rsidRPr="00000000">
        <w:rPr>
          <w:sz w:val="24"/>
          <w:szCs w:val="24"/>
          <w:rtl w:val="1"/>
        </w:rPr>
        <w:t xml:space="preserve">وصف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الفضل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والدين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وجميل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المذهب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والاعتقاد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وكانت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ولادته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( 241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فتوته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يخرط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المعتضد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مؤدبا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لابنه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فدله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فطلبه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الوزير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الوزارة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فأصاب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أيامه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ثروة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مناقشات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جمادى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الآخر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( 311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الاشتقاق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الأمالي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وأفعلت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المثلث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المتأخرون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البقاء</w:t>
      </w:r>
      <w:r w:rsidDel="00000000" w:rsidR="00000000" w:rsidRPr="00000000">
        <w:rPr>
          <w:rtl w:val="1"/>
        </w:rPr>
        <w:t xml:space="preserve"> : " 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</w:t>
      </w:r>
      <w:r w:rsidDel="00000000" w:rsidR="00000000" w:rsidRPr="00000000">
        <w:rPr>
          <w:rtl w:val="1"/>
        </w:rPr>
        <w:t xml:space="preserve">الألف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زائدة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الزجاج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لتضمنه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كأنك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اث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يجوز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أيديهم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بخلوا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وينتقل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يهلكهم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ويفنيهم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وتبقى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والندامة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فيبقيان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فخوطبوا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يعلمون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يجعلون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يرجع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ميراثا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ملكا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مبالغات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العذاب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والحريق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والذوق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المنبئ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اليأس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العفو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بمتخلص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والمؤذن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العذاب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والهوان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يعقبه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وأدهى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للتشفي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المنبئ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الغيظ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والغضب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يخفى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المبالغات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الط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ٌّ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ٌّ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الإيم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المتأخرين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خطاب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للمؤمنين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جناح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المؤمنون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تطعموا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طعامكم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تصلح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دليلا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الكفار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مخاطبون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بفروع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التحليل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سبحانه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بالمؤمنين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سبحانه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لمبتدأ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محذوف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بتقدير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مضاف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بتقدير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مضاف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الإشارة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والجملة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التقديرين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استئناف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جوابا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لسؤال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نشأ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الاستفهامية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باعتبار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التقدير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6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 </w:t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يلثغ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فيجعلها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مجنونا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بأصوله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نشأ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ولازم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انتهت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يقربه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ويميل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ويرعاه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التراجم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تلقيه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تسوق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حادثة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فسأل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مسألة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فأجابه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فأخطأ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فانتهره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منزلي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لضربتك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يحتمل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نشبهك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الذكاء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والفطنة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تخطئ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ضربتني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وأدبتني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تارك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شغلت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بالمنطق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والموسيقى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أعاود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ونظر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دقائقه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الأخفش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والكوفيين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وخالف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وانتهت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الرياسة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بالموسيقى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المنطق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يجتمع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بالفارابي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ليفيد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المنطق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ويفيده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بوجوه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احتجاج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تلميذه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علاقته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بالمقرئ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أبرز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الهجري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شابا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(316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دفن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أشهرها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والموجز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واحتجاج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والاشتقاق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العروض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استدلال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براءة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صدور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المذكور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صدوره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مستلزم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لعلمه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قطعا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منتف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فينتفي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الصدور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ضرورة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انتفاء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اللازم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مستلزم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لانتفاء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الملزوم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واستشكلت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الجملة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الماضي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مستقبلا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وأجاب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الدلالة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موضوعة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وجعلوه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لكونها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ناقصة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تحويلها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الاستقبال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وأجاب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التقدير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أمثال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وضعفه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والجمهور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ودعواي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2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الآلوسي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كفى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يخاطب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اكتفوا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ورفض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الاكتفاء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موقوفة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جواز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بضمير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أجازوا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أعماله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الظرف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أعماله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مطلقا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      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الإضافة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وتبعيضية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والسيرافي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إضافة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جزء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المضاف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التبعيضية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كلامهم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المتأخرين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والفارسي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اللام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7 </w:t>
      </w:r>
      <w:r w:rsidDel="00000000" w:rsidR="00000000" w:rsidRPr="00000000">
        <w:rPr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أبو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حفص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النجاري</w:t>
      </w:r>
      <w:r w:rsidDel="00000000" w:rsidR="00000000" w:rsidRPr="00000000">
        <w:rPr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قتيبة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شريح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حفص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النجاري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طبقات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المفسرين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البخاري</w:t>
      </w:r>
      <w:r w:rsidDel="00000000" w:rsidR="00000000" w:rsidRPr="00000000">
        <w:rPr>
          <w:sz w:val="28"/>
          <w:szCs w:val="28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البغدادي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النجاري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بالنون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صاحب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الكبير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روى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سعيد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مسعود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المروزي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وأبي</w:t>
      </w:r>
      <w:r w:rsidDel="00000000" w:rsidR="00000000" w:rsidRPr="00000000">
        <w:rPr>
          <w:sz w:val="28"/>
          <w:szCs w:val="28"/>
          <w:rtl w:val="1"/>
        </w:rPr>
        <w:t xml:space="preserve">           </w:t>
      </w:r>
      <w:r w:rsidDel="00000000" w:rsidR="00000000" w:rsidRPr="00000000">
        <w:rPr>
          <w:sz w:val="28"/>
          <w:szCs w:val="28"/>
          <w:rtl w:val="1"/>
        </w:rPr>
        <w:t xml:space="preserve">يحيى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مسرة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وعنه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نصوح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شيعيا</w:t>
      </w:r>
      <w:r w:rsidDel="00000000" w:rsidR="00000000" w:rsidRPr="00000000">
        <w:rPr>
          <w:sz w:val="28"/>
          <w:szCs w:val="28"/>
          <w:rtl w:val="1"/>
        </w:rPr>
        <w:t xml:space="preserve">ً . </w:t>
      </w:r>
      <w:r w:rsidDel="00000000" w:rsidR="00000000" w:rsidRPr="00000000">
        <w:rPr>
          <w:sz w:val="28"/>
          <w:szCs w:val="28"/>
          <w:rtl w:val="1"/>
        </w:rPr>
        <w:t xml:space="preserve">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             ( 316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8"/>
          <w:szCs w:val="28"/>
          <w:rtl w:val="0"/>
        </w:rPr>
        <w:t xml:space="preserve"> . 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تفاسير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الفريقين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8 </w:t>
      </w:r>
      <w:r w:rsidDel="00000000" w:rsidR="00000000" w:rsidRPr="00000000">
        <w:rPr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أبو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الفهم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القحطاني</w:t>
      </w:r>
      <w:r w:rsidDel="00000000" w:rsidR="00000000" w:rsidRPr="00000000">
        <w:rPr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داود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القحطاني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التنوخي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ينسب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يشجب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قحطان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التنوخي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الكرخي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وقرأ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             ( 317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فاستنابه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بتستر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وأعمالها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فأقام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حافظا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ويتكلم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المتشابه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والمشكل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9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الكعبي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المعتزلي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الكعبي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البلخي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الخراساني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أئمة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رأس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طائفة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تسمى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الكعبية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ومقالات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انفرد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( 273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طويلة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ببلخ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( 319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حاجي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تأييد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الهذيل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ومعرفة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الرجال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مقالات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الإسلاميين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الوزراء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محاسن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مفاخر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خراسان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المحدثين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التوحيدي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الخطيب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البغدادي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صنف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وانتشرت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مقالته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إرادة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أفعاله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واقعة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إرادة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مشيئة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ولاسيما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وحججهم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3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التوراة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والإنجيل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أنزلهما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الكعبي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بطلان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الكافرين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بهدى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اختاروا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العمى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الرازي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والفلسفية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ههنا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بحثا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الكعبي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المختارية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بالاستحقاق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فيؤتيه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ينزعه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الظالمين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اصطفاه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والجسم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القرى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إرسال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جبريل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كرامة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يجوز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كرامات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الأولياء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إرهاصا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لعيسى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جائز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الكعبي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معجزة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لزكرياء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النفث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والإلهام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والإلقاء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ظاهرة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بقضاء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وأجاب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الكعبي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نفعله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بالمؤمنين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الفوائد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والألطاف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أخرجوا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أنفسهم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كفرهم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أفئدتهم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وأبصارهم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ظهرت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نجدهم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يؤمنون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يؤمنوا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والجبائي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أفئدتهم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وأبصارهم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جهنم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وجمرها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لنعذبهم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يؤمنوا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واستشهد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النيسابوري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الكعبي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قائلا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الكعبي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نطلق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الخالق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أطلق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أخطأ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مواضع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الط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يتوجه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يطلقون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الخالق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إطلاق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الخالق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حقيقة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التقدير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الظن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والحسبان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10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كيسان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كيسان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الحسن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النحوي</w:t>
      </w:r>
      <w:r w:rsidDel="00000000" w:rsidR="00000000" w:rsidRPr="00000000">
        <w:rPr>
          <w:sz w:val="28"/>
          <w:szCs w:val="28"/>
          <w:rtl w:val="1"/>
        </w:rPr>
        <w:br w:type="textWrapping"/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وكيسان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لأبيه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كذلك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المشهورين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بالعلم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والمعروفين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بالفهم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وحافظا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مذهب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الكوفيين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والبصريين</w:t>
      </w:r>
      <w:r w:rsidDel="00000000" w:rsidR="00000000" w:rsidRPr="00000000">
        <w:rPr>
          <w:sz w:val="28"/>
          <w:szCs w:val="28"/>
          <w:rtl w:val="1"/>
        </w:rPr>
        <w:t xml:space="preserve"> ؛ </w:t>
      </w:r>
      <w:r w:rsidDel="00000000" w:rsidR="00000000" w:rsidRPr="00000000">
        <w:rPr>
          <w:sz w:val="28"/>
          <w:szCs w:val="28"/>
          <w:rtl w:val="1"/>
        </w:rPr>
        <w:t xml:space="preserve">لأنه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أخذ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وثعلب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يقول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الحسن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كيسان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أنحى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الشيخين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يعني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المبرد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وثعلبا</w:t>
      </w:r>
      <w:r w:rsidDel="00000000" w:rsidR="00000000" w:rsidRPr="00000000">
        <w:rPr>
          <w:sz w:val="28"/>
          <w:szCs w:val="28"/>
          <w:rtl w:val="1"/>
        </w:rPr>
        <w:t xml:space="preserve">ً. </w:t>
      </w:r>
      <w:r w:rsidDel="00000000" w:rsidR="00000000" w:rsidRPr="00000000">
        <w:rPr>
          <w:sz w:val="28"/>
          <w:szCs w:val="28"/>
          <w:rtl w:val="1"/>
        </w:rPr>
        <w:t xml:space="preserve">وكان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الانباري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يقول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خلط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المذهبين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يضبط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شيئا</w:t>
      </w:r>
      <w:r w:rsidDel="00000000" w:rsidR="00000000" w:rsidRPr="00000000">
        <w:rPr>
          <w:sz w:val="28"/>
          <w:szCs w:val="28"/>
          <w:rtl w:val="1"/>
        </w:rPr>
        <w:t xml:space="preserve">ً. 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التوحيدي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رأيت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مجلسا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فائدة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وأجمع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لأصناف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يتعلق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بالطرف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والنتف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كيسان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الصابي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إنسان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مائه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رأس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للرؤساء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والإشراف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يقصدونه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مصنفاته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المهذب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النحو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وغريب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الحديث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وغلط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ومعاني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التفسير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تلقيب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القوافي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وتلقيب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حركاتها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والمختار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والقراءات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والمقصور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والممدود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الصحيح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( 320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 ، </w:t>
      </w:r>
      <w:r w:rsidDel="00000000" w:rsidR="00000000" w:rsidRPr="00000000">
        <w:rPr>
          <w:sz w:val="28"/>
          <w:szCs w:val="28"/>
          <w:rtl w:val="1"/>
        </w:rPr>
        <w:t xml:space="preserve">وقيل</w:t>
      </w:r>
      <w:r w:rsidDel="00000000" w:rsidR="00000000" w:rsidRPr="00000000">
        <w:rPr>
          <w:sz w:val="28"/>
          <w:szCs w:val="28"/>
          <w:rtl w:val="1"/>
        </w:rPr>
        <w:t xml:space="preserve"> ( 299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الفضل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جعفر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المعتضد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أقواله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استشهد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المفسرون</w:t>
      </w:r>
      <w:r w:rsidDel="00000000" w:rsidR="00000000" w:rsidRPr="00000000">
        <w:rPr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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يدفعون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بالتوبة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ى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كيسان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اجعلها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كفلي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نصيبي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الإن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والمبهم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آنفا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يناسبه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ويليق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مفعول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مرادا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كيسان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المسارعون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جهنم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11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نفطويه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الازدي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العتكي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الواسطي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يؤيد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فلقبوه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نفطويه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لدمامته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أحفاد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المهلب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صفرة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نحوي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فاضل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مجلسه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مسجد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الانباريين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بالغدوات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رأسا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داود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مسندا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جالس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الملوك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والوزراء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وأتقن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حفظ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المروءة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والفتوة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والظرف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ونظم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بشاعر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الأديب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عصره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بواسط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( 244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( 323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ودفن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البوبهارى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جلالة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تغلب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سذاجة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الملبس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بإصلاح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الوزراء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وأمثال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4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الحبيبي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أنشدنا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المظف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أنشدنا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نفطويه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47">
      <w:pPr>
        <w:widowControl w:val="0"/>
        <w:bidi w:val="1"/>
        <w:ind w:firstLine="720"/>
        <w:contextualSpacing w:val="0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خدعته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  <w:tab/>
      </w:r>
    </w:p>
    <w:p w:rsidR="00000000" w:rsidDel="00000000" w:rsidP="00000000" w:rsidRDefault="00000000" w:rsidRPr="00000000" w14:paraId="00000048">
      <w:pPr>
        <w:widowControl w:val="0"/>
        <w:bidi w:val="1"/>
        <w:contextualSpacing w:val="0"/>
        <w:jc w:val="center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ab/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اللئيم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مجربا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يخدع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الحبيبي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المظفر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غالب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الهمذاني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الايجي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نفطويه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تنفض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تتفرق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تبقى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وحسبك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دلالة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فنائهما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نفطوية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السمعاني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نفطويه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فاكهين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ناعمين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نفطويه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المزن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الحبيبي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نفطويه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المنقري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الأصمعي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هاتف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4E">
      <w:pPr>
        <w:widowControl w:val="0"/>
        <w:bidi w:val="1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وأنصرفوا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عطفوا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رجعوا</w:t>
      </w:r>
    </w:p>
    <w:p w:rsidR="00000000" w:rsidDel="00000000" w:rsidP="00000000" w:rsidRDefault="00000000" w:rsidRPr="00000000" w14:paraId="0000004F">
      <w:pPr>
        <w:widowControl w:val="0"/>
        <w:bidi w:val="1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يوفوا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بنذرهم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صنعوا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12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5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الحسن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عتاهية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حنتم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الأزدي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اللغوي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البصري</w:t>
      </w:r>
      <w:r w:rsidDel="00000000" w:rsidR="00000000" w:rsidRPr="00000000">
        <w:rPr>
          <w:i w:val="1"/>
          <w:color w:val="0000ff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عصره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والأدب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والأشعار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الفائقة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( 223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متمولا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ونشأ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وقرأ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علمائها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انتقل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ظهور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الزنج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وأقام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12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رحل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خراسان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نيسابور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حظوة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ميكال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تأديب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وعندما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الولاية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توافرت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ظروف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مواتية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لاشتغاله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فصن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الوقت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القصيدة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المقصورة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المشهورة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ومعجمه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الواسع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الجمهرة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وضعه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للقصيدة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الديوان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تصدر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فارس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رأيه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توقيعه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tl w:val="1"/>
        </w:rPr>
        <w:t xml:space="preserve">تنقل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وجزائر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الآداب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زمانه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(308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انتقل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قاصد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المقتدر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أجرى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مدرسة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درس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السجستاني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والرياشي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والتوزي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وتتلمذ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السيرافي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والمرزباني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الأصفهاني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نبغ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أكابرها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وبالأنساب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والأشعار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 </w:t>
      </w:r>
      <w:r w:rsidDel="00000000" w:rsidR="00000000" w:rsidRPr="00000000">
        <w:rPr>
          <w:rtl w:val="1"/>
        </w:rPr>
        <w:t xml:space="preserve">ولأبي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الحفظ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شاهين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فنستحيي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الأسدي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تصانيفه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أهمها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الجمهرة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معجم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تقسيمات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فبدأ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بالثنائي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الثلاثي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فالرباعي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فملحق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الرباعي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فالخماسي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والسداسي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وملحقاتهما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الألفاظ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النادرة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طائفة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الألفاظ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أبجدي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بالجذر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ومقلوباته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اعتبر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ترتيب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الصوتي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اتبعه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متعب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فعدل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الترتيب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الهجائي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الاشتقاق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القبائل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وأعلامها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ترتيب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معجمي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اشتقاقات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القرآن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توفي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                ( 321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شعبان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ببغداد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وتسعون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دفن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المقبرة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المعروفة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بالعباسية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الشرقي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السلاح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بالقرب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الشارع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الأعظم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الخصوص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المفردات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</w:p>
    <w:p w:rsidR="00000000" w:rsidDel="00000000" w:rsidP="00000000" w:rsidRDefault="00000000" w:rsidRPr="00000000" w14:paraId="0000005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الزرع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الحنطة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وأزد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وف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مؤتلفة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قلوبهم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والصحيح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العدد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5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الأز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والرجز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والركس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والرجز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العذاب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والركس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العذرة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والنتن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نشزت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المرأة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ونشست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ونشصت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الآلوسي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أبلغ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القراءتين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مشددة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التوكيد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والمشهور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لازمة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الواقع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المصحوبة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الزائدة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يلزم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ind w:left="720" w:firstLine="720"/>
        <w:contextualSpacing w:val="0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اكى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ind w:left="1440" w:firstLine="720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أعجمي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متصرف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والثريا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ستة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ظاهرة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يمتحن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أبصارهم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الآلوسي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الإستبرق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ثياب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الديباج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 .</w:t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1"/>
        </w:rPr>
        <w:t xml:space="preserve">ونقل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الجوزي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الز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زبون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زبنت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حالبها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ودفعته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برجلها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وتزابن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تدارؤوا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واشتقاق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الزبانية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13 </w:t>
      </w:r>
      <w:r w:rsidDel="00000000" w:rsidR="00000000" w:rsidRPr="00000000">
        <w:rPr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عبد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الجبائي</w:t>
      </w:r>
      <w:r w:rsidDel="00000000" w:rsidR="00000000" w:rsidRPr="00000000">
        <w:rPr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الجبائي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السلام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هاشم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رؤوس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المعتزلة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تصانيف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وتفسير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( 247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 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درستويه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اجتمعت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هاشم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فألقى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ثمانين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مسألة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جوابا</w:t>
      </w:r>
      <w:r w:rsidDel="00000000" w:rsidR="00000000" w:rsidRPr="00000000">
        <w:rPr>
          <w:sz w:val="28"/>
          <w:szCs w:val="28"/>
          <w:rtl w:val="1"/>
        </w:rPr>
        <w:t xml:space="preserve">ً ، </w:t>
      </w:r>
      <w:r w:rsidDel="00000000" w:rsidR="00000000" w:rsidRPr="00000000">
        <w:rPr>
          <w:sz w:val="28"/>
          <w:szCs w:val="28"/>
          <w:rtl w:val="1"/>
        </w:rPr>
        <w:t xml:space="preserve">وكان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ببغداد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( 321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هاشم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اتبعته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طائفته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بالبهشمية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معتزلة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وأبوه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وانفرد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بمسائل</w:t>
      </w:r>
      <w:r w:rsidDel="00000000" w:rsidR="00000000" w:rsidRPr="00000000">
        <w:rPr>
          <w:rtl w:val="1"/>
        </w:rPr>
        <w:t xml:space="preserve">  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ببراعته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السيوطي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توي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ْ :" </w:t>
      </w:r>
      <w:r w:rsidDel="00000000" w:rsidR="00000000" w:rsidRPr="00000000">
        <w:rPr>
          <w:rtl w:val="1"/>
        </w:rPr>
        <w:t xml:space="preserve">اجتمعت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هاشم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فألقى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ثمانين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جوابا</w:t>
      </w:r>
      <w:r w:rsidDel="00000000" w:rsidR="00000000" w:rsidRPr="00000000">
        <w:rPr>
          <w:rtl w:val="1"/>
        </w:rPr>
        <w:t xml:space="preserve">ً ،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</w:t>
      </w:r>
      <w:r w:rsidDel="00000000" w:rsidR="00000000" w:rsidRPr="00000000">
        <w:rPr>
          <w:rtl w:val="1"/>
        </w:rPr>
        <w:t xml:space="preserve">ً " .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المؤلفات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العرض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العسكرية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شيئا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فدخل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فظن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فأكرمه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سأله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مسألة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الصاحب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صدقت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6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اغ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والضر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افتعل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الضرر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أدركه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ضرر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ووجد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والضرر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يوازيه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نقيض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ضرر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;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يوصف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الأدوية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الكريهة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والعبادات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الشاقة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بالضرر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المضطر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المكلف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الملجأ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المكره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يتحقق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المكره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فعلا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كالمرتعش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والمحموم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يسمى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مضطرا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ملجأ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المضطر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المحتاج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الملجأ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مضطر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حقيقة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والمحتاج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مضطر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مجازا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.</w:t>
      </w:r>
    </w:p>
    <w:p w:rsidR="00000000" w:rsidDel="00000000" w:rsidP="00000000" w:rsidRDefault="00000000" w:rsidRPr="00000000" w14:paraId="0000006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الجبائي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المضطر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تنازع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يرجع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     </w:t>
      </w:r>
      <w:r w:rsidDel="00000000" w:rsidR="00000000" w:rsidRPr="00000000">
        <w:rPr>
          <w:b w:val="1"/>
          <w:rtl w:val="1"/>
        </w:rPr>
        <w:t xml:space="preserve">اض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فسماه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مضطرا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التناول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المضطر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معنيين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</w:p>
    <w:p w:rsidR="00000000" w:rsidDel="00000000" w:rsidP="00000000" w:rsidRDefault="00000000" w:rsidRPr="00000000" w14:paraId="0000006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مكتسب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الضرر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6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والثاني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مكتسب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دفعه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كالإعجام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الإفهام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فالسلطان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يضطره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يلجئه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للضرر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والمضطر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منزله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يدفع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الضرر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يلحقه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بامتناعه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المعنيين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موجود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المسألة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مضطر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أدركه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الجوع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مضطر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بدفعه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بتناول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الميتة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;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مشروط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وبالمعنى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مأمور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  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مناقشة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معجزات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يجوزوا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إظهار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المعجزات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واختلفت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الجبائي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معجزات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لزكريا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البلخي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معجزات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لعيسى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الإرهاص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والتأسيس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لنبوته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اق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6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الجبائي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سأل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الرؤية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مكثرين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للمسألة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6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ينظروا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تروني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وأيضا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محالا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لمنعهم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منعهم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الآلهة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احتج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الاجتهاد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الجبائي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</w:p>
    <w:p w:rsidR="00000000" w:rsidDel="00000000" w:rsidP="00000000" w:rsidRDefault="00000000" w:rsidRPr="00000000" w14:paraId="0000006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الاحتجاج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ينطق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اجتهاد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بوحي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ينطق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</w:p>
    <w:p w:rsidR="00000000" w:rsidDel="00000000" w:rsidP="00000000" w:rsidRDefault="00000000" w:rsidRPr="00000000" w14:paraId="0000006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وأجيب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الاجتهاد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نطقا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</w:p>
    <w:p w:rsidR="00000000" w:rsidDel="00000000" w:rsidP="00000000" w:rsidRDefault="00000000" w:rsidRPr="00000000" w14:paraId="0000006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وحاصله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واعترض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يلزم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الأحكام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يستنبطها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المجتهدون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بالقياس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</w:p>
    <w:p w:rsidR="00000000" w:rsidDel="00000000" w:rsidP="00000000" w:rsidRDefault="00000000" w:rsidRPr="00000000" w14:paraId="0000006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وأجيب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أوحي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يجتهد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بخلاف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المجتهدين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6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البيضاوي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حينئذ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بالوحي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6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وتعقبه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قادح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بمنزلة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ظننت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ألقيته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قلبك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حقيقة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0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الحسن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الأشعري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7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إسماعيل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بشر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الأشعري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اليماني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البصري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العلامة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إمام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المتكلمين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وصاحب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التأليف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النافعة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                  ( 324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. 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تلميذا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للجبائي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يدرس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تصنيف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مستقصى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المجالس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وناظر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بمرضي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المجالس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 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مذهبه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حافل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7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مناظرة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والجبائي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سأل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أستاذه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إخوة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أحدهم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مؤمنا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تقيا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فاسقا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شقيا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والثالث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فماتوا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الدرجات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الدركات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طاعاته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الطاعات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التقصير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أبقيتني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أقدرتني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وعلا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لعصيت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للعذاب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فراعيت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مصلحتك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الكافر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راعيت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مصلحته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للأشعري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لمجنون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فانقطع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المناظرة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برحمته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وخص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بعذابه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أفعاله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الأغراض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الرازي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مذهبه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اعتراضه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أقاويله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عظمت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التذكير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المجلس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النواحي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مختفيا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مسألة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فاذكريها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انقطع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المسألة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العجوز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وتنسب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الأشاعرة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الشهرستاني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وسمعت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عجيب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الأقاويل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مذهبه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7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لاسيما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الأشاعرة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7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تناقلها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الفاتحة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اختلف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تفضيل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والآي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وتفضيل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أسماؤه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مفاضلة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7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الأشعري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البستي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7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الأشعري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</w:t>
      </w:r>
    </w:p>
    <w:p w:rsidR="00000000" w:rsidDel="00000000" w:rsidP="00000000" w:rsidRDefault="00000000" w:rsidRPr="00000000" w14:paraId="0000007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واعترضوا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يعرفان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فتعريف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جائز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7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بكونه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وبألمه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ولذاته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ضروري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بكونه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الماهية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داخلة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الماهية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ضروري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ساقطا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</w:p>
    <w:p w:rsidR="00000000" w:rsidDel="00000000" w:rsidP="00000000" w:rsidRDefault="00000000" w:rsidRPr="00000000" w14:paraId="0000007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جواز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تكليف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الأحكام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اتفاقهم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واقعا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آذنت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الأشعري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المتكلمين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تكليف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جائز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عقائد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تعذيب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المكلف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وقطعا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يف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الرؤية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المطلقة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واختاره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الأشعري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الأس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الكلبي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إباحة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لإطلاق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فيجوز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إطلاقه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إجماعا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تتعلق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شبهة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إطلاقه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الأشعري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ورأوا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موقوفة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والحديث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ٍّ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إعجاز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معلوم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ضرورة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الأشعري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الآ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</w:p>
    <w:p w:rsidR="00000000" w:rsidDel="00000000" w:rsidP="00000000" w:rsidRDefault="00000000" w:rsidRPr="00000000" w14:paraId="0000008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يبعث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   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الأشعري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الإجماع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8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حاتم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8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إدريس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المنذر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ميمي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الحنظلي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( 240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منزله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حنظلة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وإليهما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نسبته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رحل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فأدرك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الأسانيد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العالية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tl w:val="1"/>
        </w:rPr>
        <w:t xml:space="preserve">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زرعة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الحسن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عرفة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سعيد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الأشج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ويونس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الأعلى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وخلائق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بالحجاز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والشام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والعراق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والجبال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والجزيرة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وروى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ويوسف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الميانجي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خلائق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يدعنى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اطلب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قرأت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شاذان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بحرا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ومعرفة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الرجال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حافظا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المصنفات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الجرح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والتعديل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مطبوع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الجهمية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والكنى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والمسند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والفوائد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الكبرى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والمراسيل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وتقدمة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المعرفة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الجرح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والتعديل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وزهد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الثمانية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التابعين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وآداب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الشافعي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ومناقبه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تاريخه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( 327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مشهور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تمثيل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بمروياته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بحكمه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الرجال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مثلما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استشهاد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8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السيوطي</w:t>
      </w:r>
      <w:r w:rsidDel="00000000" w:rsidR="00000000" w:rsidRPr="00000000">
        <w:rPr>
          <w:rtl w:val="1"/>
        </w:rPr>
        <w:t xml:space="preserve"> ( 2297 )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( 1052 )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والآلوسي</w:t>
      </w:r>
      <w:r w:rsidDel="00000000" w:rsidR="00000000" w:rsidRPr="00000000">
        <w:rPr>
          <w:rtl w:val="1"/>
        </w:rPr>
        <w:t xml:space="preserve"> ( 400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والشوكاني</w:t>
      </w:r>
      <w:r w:rsidDel="00000000" w:rsidR="00000000" w:rsidRPr="00000000">
        <w:rPr>
          <w:rtl w:val="1"/>
        </w:rPr>
        <w:t xml:space="preserve"> ( 360 )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غياث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الدستوائي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المغيرة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ختن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شفاههم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بمقاريض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«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جبريل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»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خطباء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يأمرون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وينسون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أنفسهم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يئ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وأحاطت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جوانبه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ولسانه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وجوارحه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واستولت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خطيئته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كسبها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وصارت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تنبئ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الكافر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الآخ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تيمية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الفترة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كزيد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خلافا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الإس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ومراده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الأولين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والآخرين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فأتاهما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أخرجتكما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لتطيعاني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لأجعلن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بطنك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فيشقه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ولأفعلن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ولأفعلن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يخوفهما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فسمياه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عبدالحارث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فأبيا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يطيعاه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ميتا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فأتاهما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لتفعلن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لأفعلن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يخوفهما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فأبيا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يطيعاه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ميتا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فأتاهما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فأدركهما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فسمياه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عبدالحارث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وعكرمة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المتأخرين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جماعات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يحصون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مأخوذ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الجماهر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أتاها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أتطيعيني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عبدالحارث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فولدت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الثالثة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فجاءها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تطيعيني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بهيمة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فهيبهما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فأطاعا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الآثار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يظهر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آثار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</w:t>
      </w:r>
    </w:p>
    <w:p w:rsidR="00000000" w:rsidDel="00000000" w:rsidP="00000000" w:rsidRDefault="00000000" w:rsidRPr="00000000" w14:paraId="0000008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"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النكير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كالأليم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يومئذ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العذاب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حكاه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9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الماوردي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أسلموا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والزكاة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1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الأنباري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9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كنيته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وشهرته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وفقيه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وراوية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الهجري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بالأنبار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( 271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ونشأ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وتلقى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علمائها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المفضليات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فنسبوه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ينشد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حلقات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وأكب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حلقة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عصره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حلقات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والنحاة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واللغويين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الأشعار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الزاهر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المعلقات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اشتهر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بقدرته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وكثرة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ومحفوظاته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وفطنة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وتواضع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تصدر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للتدريس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ناحية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ناحية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ومصنفاته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الدارسون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مجالسه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عظيم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المتعلمين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منزلته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وزادت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حفظه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وكثرة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وبتميزه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معاصريه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طلبه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لتأديب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أولاده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وتثقيفهم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منصرف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الحياة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ولهوها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متواضع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مأكله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ومشربه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وملبسه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وسائر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ينشغل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بامرأة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بالبخل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ويساره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لإفراطه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التقشف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الطعام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( 328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( 327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الزاهر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القصائد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الطوال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الجاهليات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إيضاح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والابتداء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عجائب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الألفات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الأمثال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الأضداد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ضمائر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مصحف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الأمالي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Fonts w:ascii="Simplified Arabic" w:cs="Simplified Arabic" w:eastAsia="Simplified Arabic" w:hAnsi="Simplified Arabic"/>
          <w:vertAlign w:val="superscript"/>
          <w:rtl w:val="0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vertAlign w:val="superscript"/>
        </w:rPr>
        <w:footnoteReference w:customMarkFollows="0" w:id="154"/>
      </w:r>
      <w:r w:rsidDel="00000000" w:rsidR="00000000" w:rsidRPr="00000000">
        <w:rPr>
          <w:rFonts w:ascii="Simplified Arabic" w:cs="Simplified Arabic" w:eastAsia="Simplified Arabic" w:hAnsi="Simplified Arabic"/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الظن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وشكا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براهين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براهين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فالظن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اعتدلت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براهين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وبراهين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فالظن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زادت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براهين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براهين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فالظن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يظنون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يكذبون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</w:p>
    <w:p w:rsidR="00000000" w:rsidDel="00000000" w:rsidP="00000000" w:rsidRDefault="00000000" w:rsidRPr="00000000" w14:paraId="0000009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صلاحا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لدينهم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ودنياهم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وقياما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</w:p>
    <w:p w:rsidR="00000000" w:rsidDel="00000000" w:rsidP="00000000" w:rsidRDefault="00000000" w:rsidRPr="00000000" w14:paraId="0000009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والثاني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الجاهلية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بدىء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الجوزي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المذموم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استعظم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أعطاه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وافتخر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الشاعر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bidi w:val="1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قليلا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أسرعت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فنيلك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ممنون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كذاك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قليل</w:t>
      </w:r>
    </w:p>
    <w:p w:rsidR="00000000" w:rsidDel="00000000" w:rsidP="00000000" w:rsidRDefault="00000000" w:rsidRPr="00000000" w14:paraId="0000009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9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واتقوا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توفى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جبريل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ضعها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ثمانين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ومائتين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الحيوان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الحيوان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اللاتي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اللاتي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الحيوان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الحيوان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متميزة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بخواص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الهندات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الأثواب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قصتهن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المختار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345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Simplified Arabic"/>
  <w:font w:name="Arial"/>
  <w:font w:name="AGA Arabesque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1/46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47 .</w:t>
      </w:r>
    </w:p>
  </w:footnote>
  <w:footnote w:id="1"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الخلوتي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البروسوي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ضبطه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3/138 .</w:t>
      </w:r>
    </w:p>
  </w:footnote>
  <w:footnote w:id="2"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2/448 .</w:t>
      </w:r>
    </w:p>
  </w:footnote>
  <w:footnote w:id="3"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55 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المعتزلة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للقاضى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الهمذاني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المستشرقين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والمنتظم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4/85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626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2/97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وتكملة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2/202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1/208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267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186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/ 125،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 / 183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1396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189،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للميرزا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الخوانساري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تأليفه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( 1286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وفهرسة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1367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10 / 269،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 36 .</w:t>
      </w:r>
    </w:p>
  </w:footnote>
  <w:footnote w:id="4"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189 .</w:t>
      </w:r>
    </w:p>
  </w:footnote>
  <w:footnote w:id="5"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/ 125 .</w:t>
      </w:r>
    </w:p>
  </w:footnote>
  <w:footnote w:id="6"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16/209 .</w:t>
      </w:r>
    </w:p>
  </w:footnote>
  <w:footnote w:id="7"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الهمداني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ألبرت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كنعان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الكاثوليكية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 .</w:t>
      </w:r>
    </w:p>
  </w:footnote>
  <w:footnote w:id="8"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9"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189 .</w:t>
      </w:r>
    </w:p>
  </w:footnote>
  <w:footnote w:id="10"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2/46 .</w:t>
      </w:r>
    </w:p>
  </w:footnote>
  <w:footnote w:id="11"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</w:t>
      </w:r>
    </w:p>
  </w:footnote>
  <w:footnote w:id="12"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2/96 .</w:t>
      </w:r>
    </w:p>
  </w:footnote>
  <w:footnote w:id="13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130 .</w:t>
      </w:r>
    </w:p>
  </w:footnote>
  <w:footnote w:id="14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الدابولي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بطنطا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355 .</w:t>
      </w:r>
    </w:p>
  </w:footnote>
  <w:footnote w:id="15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43 .</w:t>
      </w:r>
    </w:p>
  </w:footnote>
  <w:footnote w:id="16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3/164 .</w:t>
      </w:r>
    </w:p>
  </w:footnote>
  <w:footnote w:id="17"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83 .</w:t>
      </w:r>
    </w:p>
  </w:footnote>
  <w:footnote w:id="18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5/143 .</w:t>
      </w:r>
    </w:p>
  </w:footnote>
  <w:footnote w:id="19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1/460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1/48 .</w:t>
      </w:r>
    </w:p>
  </w:footnote>
  <w:footnote w:id="20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2/162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6/423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2/106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الطناحي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والإعلان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الجيزة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2/135 ، 140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والبداية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/ 145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1/456 ،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 100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ومفتاح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1/205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437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1/ 95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tl w:val="0"/>
        </w:rPr>
      </w:r>
    </w:p>
  </w:footnote>
  <w:footnote w:id="21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196 .</w:t>
      </w:r>
    </w:p>
  </w:footnote>
  <w:footnote w:id="22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2/96 .</w:t>
      </w:r>
    </w:p>
  </w:footnote>
  <w:footnote w:id="23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248. </w:t>
      </w:r>
    </w:p>
  </w:footnote>
  <w:footnote w:id="24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1/316 .</w:t>
      </w:r>
    </w:p>
  </w:footnote>
  <w:footnote w:id="25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50 .</w:t>
      </w:r>
    </w:p>
  </w:footnote>
  <w:footnote w:id="26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3/347 .</w:t>
      </w:r>
    </w:p>
  </w:footnote>
  <w:footnote w:id="27"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28 .</w:t>
      </w:r>
    </w:p>
  </w:footnote>
  <w:footnote w:id="28"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15/306 .</w:t>
      </w:r>
    </w:p>
  </w:footnote>
  <w:footnote w:id="29"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89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159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/448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1/52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آداب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30"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71 .</w:t>
      </w:r>
    </w:p>
  </w:footnote>
  <w:footnote w:id="31"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1/43. </w:t>
      </w:r>
    </w:p>
  </w:footnote>
  <w:footnote w:id="32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180 .</w:t>
      </w:r>
    </w:p>
  </w:footnote>
  <w:footnote w:id="33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وكفاية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1283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3/85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4/140.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1/512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9/91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:1/457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وإعرابه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2/157 .</w:t>
      </w:r>
      <w:r w:rsidDel="00000000" w:rsidR="00000000" w:rsidRPr="00000000">
        <w:rPr>
          <w:rtl w:val="0"/>
        </w:rPr>
      </w:r>
    </w:p>
  </w:footnote>
  <w:footnote w:id="34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181 .</w:t>
      </w:r>
    </w:p>
  </w:footnote>
  <w:footnote w:id="35"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3/123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وإعرابه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2/158.</w:t>
      </w:r>
      <w:r w:rsidDel="00000000" w:rsidR="00000000" w:rsidRPr="00000000">
        <w:rPr>
          <w:rtl w:val="0"/>
        </w:rPr>
      </w:r>
    </w:p>
  </w:footnote>
  <w:footnote w:id="36"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</w:t>
      </w:r>
    </w:p>
  </w:footnote>
  <w:footnote w:id="37"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2/296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3/431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1/1704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217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65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وإعرابه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2/25 .</w:t>
      </w:r>
      <w:r w:rsidDel="00000000" w:rsidR="00000000" w:rsidRPr="00000000">
        <w:rPr>
          <w:rtl w:val="0"/>
        </w:rPr>
      </w:r>
    </w:p>
  </w:footnote>
  <w:footnote w:id="38"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60 .</w:t>
      </w:r>
    </w:p>
  </w:footnote>
  <w:footnote w:id="39"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1395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3/259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2/557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3/259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6/175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وإعرابه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2/49 .</w:t>
      </w:r>
      <w:r w:rsidDel="00000000" w:rsidR="00000000" w:rsidRPr="00000000">
        <w:rPr>
          <w:rtl w:val="0"/>
        </w:rPr>
      </w:r>
    </w:p>
  </w:footnote>
  <w:footnote w:id="40"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اعتنت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الدكتورة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ايلزه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ليختن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شتيتر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بحيدرآباد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235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واللغويين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المقدسي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النظامية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438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313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4/185 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والوافي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86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503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9/183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44 .</w:t>
      </w:r>
      <w:r w:rsidDel="00000000" w:rsidR="00000000" w:rsidRPr="00000000">
        <w:rPr>
          <w:rtl w:val="0"/>
        </w:rPr>
      </w:r>
    </w:p>
  </w:footnote>
  <w:footnote w:id="41"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106 .</w:t>
      </w:r>
    </w:p>
  </w:footnote>
  <w:footnote w:id="42"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7/620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3/303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7/66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الأعاريب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1/369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شذور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           1/ 439 .</w:t>
      </w:r>
      <w:r w:rsidDel="00000000" w:rsidR="00000000" w:rsidRPr="00000000">
        <w:rPr>
          <w:rtl w:val="0"/>
        </w:rPr>
      </w:r>
    </w:p>
  </w:footnote>
  <w:footnote w:id="43"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21/8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مغني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اللبيب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1/106 . </w:t>
      </w:r>
      <w:r w:rsidDel="00000000" w:rsidR="00000000" w:rsidRPr="00000000">
        <w:rPr>
          <w:rtl w:val="0"/>
        </w:rPr>
      </w:r>
    </w:p>
  </w:footnote>
  <w:footnote w:id="44"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6 .</w:t>
      </w:r>
    </w:p>
  </w:footnote>
  <w:footnote w:id="45"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3/282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والكشاف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3/229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21/ 67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وإعرابه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4/194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456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فائز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المطابع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1984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التسهيل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672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السعيد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الأنجلو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1974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1/146.</w:t>
      </w:r>
      <w:r w:rsidDel="00000000" w:rsidR="00000000" w:rsidRPr="00000000">
        <w:rPr>
          <w:rtl w:val="0"/>
        </w:rPr>
      </w:r>
    </w:p>
  </w:footnote>
  <w:footnote w:id="46"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1/53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1/835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8/127 .</w:t>
      </w:r>
      <w:r w:rsidDel="00000000" w:rsidR="00000000" w:rsidRPr="00000000">
        <w:rPr>
          <w:rtl w:val="0"/>
        </w:rPr>
      </w:r>
    </w:p>
  </w:footnote>
  <w:footnote w:id="47"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الحنفية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الأهرام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1/52 .</w:t>
      </w:r>
    </w:p>
  </w:footnote>
  <w:footnote w:id="48"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9/384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1/252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255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1/441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1/444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49"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50"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44 .</w:t>
      </w:r>
    </w:p>
  </w:footnote>
  <w:footnote w:id="51"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6 .</w:t>
      </w:r>
    </w:p>
  </w:footnote>
  <w:footnote w:id="52"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7/139 .</w:t>
      </w:r>
    </w:p>
  </w:footnote>
  <w:footnote w:id="53"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26 .</w:t>
      </w:r>
    </w:p>
  </w:footnote>
  <w:footnote w:id="54"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124 .</w:t>
      </w:r>
    </w:p>
  </w:footnote>
  <w:footnote w:id="55"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247 .</w:t>
      </w:r>
    </w:p>
  </w:footnote>
  <w:footnote w:id="56"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6 .</w:t>
      </w:r>
    </w:p>
  </w:footnote>
  <w:footnote w:id="57"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42 .</w:t>
      </w:r>
    </w:p>
  </w:footnote>
  <w:footnote w:id="58"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109 .</w:t>
      </w:r>
    </w:p>
  </w:footnote>
  <w:footnote w:id="59"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8/38 .</w:t>
      </w:r>
    </w:p>
  </w:footnote>
  <w:footnote w:id="60"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110 .</w:t>
      </w:r>
    </w:p>
  </w:footnote>
  <w:footnote w:id="61"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7/349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7/255 .</w:t>
      </w:r>
    </w:p>
  </w:footnote>
  <w:footnote w:id="62"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110 .</w:t>
      </w:r>
    </w:p>
  </w:footnote>
  <w:footnote w:id="63"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4/252 .</w:t>
      </w:r>
    </w:p>
  </w:footnote>
  <w:footnote w:id="64"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واللغويين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6/280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24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 / 136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آباذي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1/480، 1160، 1205، 1455، 1703، 1730، 1914،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232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23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1/59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229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 / 311 .</w:t>
      </w:r>
    </w:p>
  </w:footnote>
  <w:footnote w:id="65"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5/ 386 .</w:t>
      </w:r>
      <w:r w:rsidDel="00000000" w:rsidR="00000000" w:rsidRPr="00000000">
        <w:rPr>
          <w:rtl w:val="0"/>
        </w:rPr>
      </w:r>
    </w:p>
  </w:footnote>
  <w:footnote w:id="66"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15 .</w:t>
      </w:r>
    </w:p>
  </w:footnote>
  <w:footnote w:id="67"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/478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/165 .</w:t>
      </w:r>
      <w:r w:rsidDel="00000000" w:rsidR="00000000" w:rsidRPr="00000000">
        <w:rPr>
          <w:rtl w:val="0"/>
        </w:rPr>
      </w:r>
    </w:p>
  </w:footnote>
  <w:footnote w:id="68"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23 .</w:t>
      </w:r>
    </w:p>
  </w:footnote>
  <w:footnote w:id="69"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 392 .</w:t>
      </w:r>
      <w:r w:rsidDel="00000000" w:rsidR="00000000" w:rsidRPr="00000000">
        <w:rPr>
          <w:rtl w:val="0"/>
        </w:rPr>
      </w:r>
    </w:p>
  </w:footnote>
  <w:footnote w:id="70"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71"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109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 253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189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وحاشية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 / 130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72"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10 .</w:t>
      </w:r>
    </w:p>
  </w:footnote>
  <w:footnote w:id="73"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 276 .</w:t>
      </w:r>
      <w:r w:rsidDel="00000000" w:rsidR="00000000" w:rsidRPr="00000000">
        <w:rPr>
          <w:rtl w:val="0"/>
        </w:rPr>
      </w:r>
    </w:p>
  </w:footnote>
  <w:footnote w:id="74"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43 .</w:t>
      </w:r>
    </w:p>
  </w:footnote>
  <w:footnote w:id="75"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8/209 .</w:t>
      </w:r>
    </w:p>
  </w:footnote>
  <w:footnote w:id="76"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326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6/159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1/176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1/109 .</w:t>
      </w:r>
      <w:r w:rsidDel="00000000" w:rsidR="00000000" w:rsidRPr="00000000">
        <w:rPr>
          <w:rtl w:val="0"/>
        </w:rPr>
      </w:r>
    </w:p>
  </w:footnote>
  <w:footnote w:id="77"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21 .</w:t>
      </w:r>
    </w:p>
  </w:footnote>
  <w:footnote w:id="78"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4/224 .</w:t>
      </w:r>
    </w:p>
  </w:footnote>
  <w:footnote w:id="79"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34 .</w:t>
      </w:r>
    </w:p>
  </w:footnote>
  <w:footnote w:id="80"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5/38 . </w:t>
      </w:r>
    </w:p>
  </w:footnote>
  <w:footnote w:id="81"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15 .</w:t>
      </w:r>
    </w:p>
  </w:footnote>
  <w:footnote w:id="82"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21/56 .</w:t>
      </w:r>
    </w:p>
  </w:footnote>
  <w:footnote w:id="83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 </w:t>
      </w:r>
    </w:p>
  </w:footnote>
  <w:footnote w:id="84"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5/271 .</w:t>
      </w:r>
    </w:p>
  </w:footnote>
  <w:footnote w:id="85"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34 .</w:t>
      </w:r>
    </w:p>
  </w:footnote>
  <w:footnote w:id="86"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5/356 .</w:t>
      </w:r>
    </w:p>
  </w:footnote>
  <w:footnote w:id="87"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10/324 .</w:t>
      </w:r>
    </w:p>
  </w:footnote>
  <w:footnote w:id="88"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المرزباني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الخراساني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2/195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6/483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1/497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15/96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5/132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آداب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188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</w:footnote>
  <w:footnote w:id="89"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61 .</w:t>
      </w:r>
    </w:p>
  </w:footnote>
  <w:footnote w:id="90"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 .</w:t>
      </w:r>
    </w:p>
  </w:footnote>
  <w:footnote w:id="91"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243 .</w:t>
      </w:r>
    </w:p>
  </w:footnote>
  <w:footnote w:id="92"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1/246 .</w:t>
      </w:r>
    </w:p>
  </w:footnote>
  <w:footnote w:id="93"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90 .</w:t>
      </w:r>
    </w:p>
  </w:footnote>
  <w:footnote w:id="94"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7/506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:7/16 .</w:t>
      </w:r>
    </w:p>
  </w:footnote>
  <w:footnote w:id="95"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34 .</w:t>
      </w:r>
    </w:p>
  </w:footnote>
  <w:footnote w:id="96"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5/171. </w:t>
      </w:r>
    </w:p>
  </w:footnote>
  <w:footnote w:id="97"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68 .</w:t>
      </w:r>
    </w:p>
  </w:footnote>
  <w:footnote w:id="98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7/183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5/212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ومقصورة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دريد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23 .</w:t>
      </w:r>
      <w:r w:rsidDel="00000000" w:rsidR="00000000" w:rsidRPr="00000000">
        <w:rPr>
          <w:rtl w:val="0"/>
        </w:rPr>
      </w:r>
    </w:p>
  </w:footnote>
  <w:footnote w:id="99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22 .</w:t>
      </w:r>
    </w:p>
  </w:footnote>
  <w:footnote w:id="100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192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3/324 .</w:t>
      </w:r>
      <w:r w:rsidDel="00000000" w:rsidR="00000000" w:rsidRPr="00000000">
        <w:rPr>
          <w:rtl w:val="0"/>
        </w:rPr>
      </w:r>
    </w:p>
  </w:footnote>
  <w:footnote w:id="101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102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17/341 .</w:t>
      </w:r>
    </w:p>
  </w:footnote>
  <w:footnote w:id="103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21 .</w:t>
      </w:r>
    </w:p>
  </w:footnote>
  <w:footnote w:id="104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29/162.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3/463 .</w:t>
      </w:r>
    </w:p>
  </w:footnote>
  <w:footnote w:id="105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18 .</w:t>
      </w:r>
    </w:p>
  </w:footnote>
  <w:footnote w:id="106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9/179 .</w:t>
      </w:r>
    </w:p>
  </w:footnote>
  <w:footnote w:id="107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3/183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/ 125،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15/63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55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189،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 / 269،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 36 .</w:t>
      </w:r>
    </w:p>
  </w:footnote>
  <w:footnote w:id="108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173 .</w:t>
      </w:r>
    </w:p>
  </w:footnote>
  <w:footnote w:id="109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1/82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84 .</w:t>
      </w:r>
    </w:p>
  </w:footnote>
  <w:footnote w:id="110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47 . </w:t>
      </w:r>
    </w:p>
  </w:footnote>
  <w:footnote w:id="111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6/411 .</w:t>
      </w:r>
    </w:p>
  </w:footnote>
  <w:footnote w:id="112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143 .</w:t>
      </w:r>
    </w:p>
  </w:footnote>
  <w:footnote w:id="113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138 .</w:t>
      </w:r>
    </w:p>
  </w:footnote>
  <w:footnote w:id="114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4/382 .</w:t>
      </w:r>
    </w:p>
  </w:footnote>
  <w:footnote w:id="115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4/418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8/110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27/ 46 .</w:t>
      </w:r>
    </w:p>
  </w:footnote>
  <w:footnote w:id="116"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8/110 .</w:t>
      </w:r>
    </w:p>
  </w:footnote>
  <w:footnote w:id="117"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( 2296)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عبدالغفار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عبيدالله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( 819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128 .</w:t>
      </w:r>
    </w:p>
  </w:footnote>
  <w:footnote w:id="118"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55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/ 125،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13/288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15/88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35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189،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1/440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 / 269،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 36</w:t>
      </w:r>
    </w:p>
  </w:footnote>
  <w:footnote w:id="119"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267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قسطنطينية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1286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1/210 .</w:t>
      </w:r>
    </w:p>
  </w:footnote>
  <w:footnote w:id="120"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13/151 .</w:t>
      </w:r>
    </w:p>
  </w:footnote>
  <w:footnote w:id="121"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للشهرستاني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149 .</w:t>
      </w:r>
    </w:p>
  </w:footnote>
  <w:footnote w:id="122"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1/109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1/275 .</w:t>
      </w:r>
    </w:p>
  </w:footnote>
  <w:footnote w:id="123"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32 .</w:t>
      </w:r>
    </w:p>
  </w:footnote>
  <w:footnote w:id="124"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2/184 .</w:t>
      </w:r>
    </w:p>
  </w:footnote>
  <w:footnote w:id="125"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286 .</w:t>
      </w:r>
    </w:p>
  </w:footnote>
  <w:footnote w:id="126"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1/393 .</w:t>
      </w:r>
    </w:p>
  </w:footnote>
  <w:footnote w:id="127"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103 .</w:t>
      </w:r>
    </w:p>
  </w:footnote>
  <w:footnote w:id="128"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7/245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الأشعري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فوقية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1397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 .</w:t>
      </w:r>
    </w:p>
  </w:footnote>
  <w:footnote w:id="129"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103 .</w:t>
      </w:r>
    </w:p>
  </w:footnote>
  <w:footnote w:id="130"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التسهيل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1/429. </w:t>
      </w:r>
    </w:p>
  </w:footnote>
  <w:footnote w:id="131"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52 .</w:t>
      </w:r>
    </w:p>
  </w:footnote>
  <w:footnote w:id="132"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إعجاز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للباقلاني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17/182 . </w:t>
      </w:r>
    </w:p>
  </w:footnote>
  <w:footnote w:id="133"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75 .</w:t>
      </w:r>
    </w:p>
  </w:footnote>
  <w:footnote w:id="134"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109 .</w:t>
      </w:r>
    </w:p>
  </w:footnote>
  <w:footnote w:id="135"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3/159 .</w:t>
      </w:r>
    </w:p>
  </w:footnote>
  <w:footnote w:id="136"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الحنابلة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وفوات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1/260 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3/829-832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436 .</w:t>
      </w:r>
    </w:p>
  </w:footnote>
  <w:footnote w:id="137"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1/19 ، 23 ، 24 ، 30 ، 34 ، 38 ، 42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38"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 ، 23 ، 24 ، 25 ، 28 ، 31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39"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3/8 ، 41 ، 45 ، 52 ، 143 ، 148 ، 159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40"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1/18 ، 20 ، 23 ، 25 ، 33 ، 34 ، 38  ، 41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41"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44 .</w:t>
      </w:r>
    </w:p>
  </w:footnote>
  <w:footnote w:id="142"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76 .</w:t>
      </w:r>
    </w:p>
  </w:footnote>
  <w:footnote w:id="143"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81 .</w:t>
      </w:r>
    </w:p>
  </w:footnote>
  <w:footnote w:id="144"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1/122. </w:t>
      </w:r>
    </w:p>
  </w:footnote>
  <w:footnote w:id="145"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85 . </w:t>
      </w:r>
    </w:p>
  </w:footnote>
  <w:footnote w:id="146"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1/214 .</w:t>
      </w:r>
    </w:p>
  </w:footnote>
  <w:footnote w:id="147"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189 .</w:t>
      </w:r>
    </w:p>
  </w:footnote>
  <w:footnote w:id="148"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190 .</w:t>
      </w:r>
    </w:p>
  </w:footnote>
  <w:footnote w:id="149"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3/312 . </w:t>
      </w:r>
    </w:p>
  </w:footnote>
  <w:footnote w:id="150"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47 .</w:t>
      </w:r>
    </w:p>
  </w:footnote>
  <w:footnote w:id="151"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16/47 . </w:t>
      </w:r>
    </w:p>
  </w:footnote>
  <w:footnote w:id="152"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69 .</w:t>
      </w:r>
    </w:p>
  </w:footnote>
  <w:footnote w:id="153"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4/275 .</w:t>
      </w:r>
    </w:p>
  </w:footnote>
  <w:footnote w:id="154"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3/181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الحنابلة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69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330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2/230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503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 842-845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1/452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1/66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آداب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2/ 182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  </w:t>
      </w:r>
    </w:p>
  </w:footnote>
  <w:footnote w:id="155"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46 . </w:t>
      </w:r>
    </w:p>
  </w:footnote>
  <w:footnote w:id="156"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2/8 .</w:t>
      </w:r>
    </w:p>
  </w:footnote>
  <w:footnote w:id="157"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97 .</w:t>
      </w:r>
    </w:p>
  </w:footnote>
  <w:footnote w:id="158"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3/424 .</w:t>
      </w:r>
    </w:p>
  </w:footnote>
  <w:footnote w:id="159"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255 .</w:t>
      </w:r>
    </w:p>
  </w:footnote>
  <w:footnote w:id="160"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3/272 .</w:t>
      </w:r>
    </w:p>
  </w:footnote>
  <w:footnote w:id="161"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262 .</w:t>
      </w:r>
    </w:p>
  </w:footnote>
  <w:footnote w:id="162"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1/317 .</w:t>
      </w:r>
    </w:p>
  </w:footnote>
  <w:footnote w:id="163"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281 .</w:t>
      </w:r>
    </w:p>
  </w:footnote>
  <w:footnote w:id="164"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3/375 .</w:t>
      </w:r>
    </w:p>
  </w:footnote>
  <w:footnote w:id="165"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15 .</w:t>
      </w:r>
    </w:p>
  </w:footnote>
  <w:footnote w:id="166"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</w:t>
      </w:r>
    </w:p>
  </w:footnote>
  <w:footnote w:id="167"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9/186.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