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bidi w:val="1"/>
        <w:spacing w:before="120" w:lineRule="auto"/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bidi w:val="1"/>
        <w:spacing w:before="120" w:lineRule="auto"/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bidi w:val="1"/>
        <w:spacing w:before="120" w:lineRule="auto"/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bidi w:val="1"/>
        <w:spacing w:before="120" w:lineRule="auto"/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الم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ب</w:t>
      </w:r>
      <w:r w:rsidDel="00000000" w:rsidR="00000000" w:rsidRPr="00000000">
        <w:rPr>
          <w:sz w:val="40"/>
          <w:szCs w:val="40"/>
          <w:rtl w:val="1"/>
        </w:rPr>
        <w:t xml:space="preserve">ْ</w:t>
      </w:r>
      <w:r w:rsidDel="00000000" w:rsidR="00000000" w:rsidRPr="00000000">
        <w:rPr>
          <w:sz w:val="40"/>
          <w:szCs w:val="40"/>
          <w:rtl w:val="1"/>
        </w:rPr>
        <w:t xml:space="preserve">ح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ث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الث</w:t>
      </w:r>
      <w:r w:rsidDel="00000000" w:rsidR="00000000" w:rsidRPr="00000000">
        <w:rPr>
          <w:sz w:val="40"/>
          <w:szCs w:val="40"/>
          <w:rtl w:val="1"/>
        </w:rPr>
        <w:t xml:space="preserve">َّ</w:t>
      </w:r>
      <w:r w:rsidDel="00000000" w:rsidR="00000000" w:rsidRPr="00000000">
        <w:rPr>
          <w:sz w:val="40"/>
          <w:szCs w:val="40"/>
          <w:rtl w:val="1"/>
        </w:rPr>
        <w:t xml:space="preserve">ال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ث</w:t>
      </w:r>
      <w:r w:rsidDel="00000000" w:rsidR="00000000" w:rsidRPr="00000000">
        <w:rPr>
          <w:sz w:val="40"/>
          <w:szCs w:val="40"/>
          <w:rtl w:val="1"/>
        </w:rPr>
        <w:t xml:space="preserve"> </w:t>
      </w:r>
    </w:p>
    <w:p w:rsidR="00000000" w:rsidDel="00000000" w:rsidP="00000000" w:rsidRDefault="00000000" w:rsidRPr="00000000" w14:paraId="00000004">
      <w:pPr>
        <w:widowControl w:val="0"/>
        <w:bidi w:val="1"/>
        <w:spacing w:before="120" w:lineRule="auto"/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دور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المفسرين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العراقيين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وأثرهم</w:t>
      </w:r>
    </w:p>
    <w:p w:rsidR="00000000" w:rsidDel="00000000" w:rsidP="00000000" w:rsidRDefault="00000000" w:rsidRPr="00000000" w14:paraId="00000005">
      <w:pPr>
        <w:widowControl w:val="0"/>
        <w:bidi w:val="1"/>
        <w:spacing w:before="120" w:lineRule="auto"/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b w:val="1"/>
          <w:rtl w:val="1"/>
        </w:rPr>
        <w:t xml:space="preserve">ويشتمل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تمهيد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وأربعة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مطالب</w:t>
      </w:r>
      <w:r w:rsidDel="00000000" w:rsidR="00000000" w:rsidRPr="00000000">
        <w:rPr>
          <w:b w:val="1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bidi w:val="1"/>
        <w:spacing w:before="120" w:lineRule="auto"/>
        <w:contextualSpacing w:val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bidi w:val="1"/>
        <w:spacing w:before="12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المطلب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الأول</w:t>
      </w:r>
      <w:r w:rsidDel="00000000" w:rsidR="00000000" w:rsidRPr="00000000">
        <w:rPr>
          <w:b w:val="1"/>
          <w:rtl w:val="1"/>
        </w:rPr>
        <w:t xml:space="preserve"> : </w:t>
      </w:r>
      <w:r w:rsidDel="00000000" w:rsidR="00000000" w:rsidRPr="00000000">
        <w:rPr>
          <w:b w:val="1"/>
          <w:rtl w:val="1"/>
        </w:rPr>
        <w:t xml:space="preserve">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القرآن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العظيم</w:t>
      </w:r>
      <w:r w:rsidDel="00000000" w:rsidR="00000000" w:rsidRPr="00000000">
        <w:rPr>
          <w:b w:val="1"/>
          <w:rtl w:val="1"/>
        </w:rPr>
        <w:t xml:space="preserve"> / </w:t>
      </w:r>
      <w:r w:rsidDel="00000000" w:rsidR="00000000" w:rsidRPr="00000000">
        <w:rPr>
          <w:b w:val="1"/>
          <w:rtl w:val="1"/>
        </w:rPr>
        <w:t xml:space="preserve">لابن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ابي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حاتم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08">
      <w:pPr>
        <w:widowControl w:val="0"/>
        <w:bidi w:val="1"/>
        <w:spacing w:before="12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المطلب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الثاني</w:t>
      </w:r>
      <w:r w:rsidDel="00000000" w:rsidR="00000000" w:rsidRPr="00000000">
        <w:rPr>
          <w:b w:val="1"/>
          <w:rtl w:val="1"/>
        </w:rPr>
        <w:t xml:space="preserve"> : </w:t>
      </w:r>
      <w:r w:rsidDel="00000000" w:rsidR="00000000" w:rsidRPr="00000000">
        <w:rPr>
          <w:b w:val="1"/>
          <w:rtl w:val="1"/>
        </w:rPr>
        <w:t xml:space="preserve">معاني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القرآن</w:t>
      </w:r>
      <w:r w:rsidDel="00000000" w:rsidR="00000000" w:rsidRPr="00000000">
        <w:rPr>
          <w:b w:val="1"/>
          <w:rtl w:val="1"/>
        </w:rPr>
        <w:t xml:space="preserve"> / </w:t>
      </w:r>
      <w:r w:rsidDel="00000000" w:rsidR="00000000" w:rsidRPr="00000000">
        <w:rPr>
          <w:b w:val="1"/>
          <w:rtl w:val="1"/>
        </w:rPr>
        <w:t xml:space="preserve">للنحاس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09">
      <w:pPr>
        <w:widowControl w:val="0"/>
        <w:bidi w:val="1"/>
        <w:spacing w:before="12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المطلب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الثالث</w:t>
      </w:r>
      <w:r w:rsidDel="00000000" w:rsidR="00000000" w:rsidRPr="00000000">
        <w:rPr>
          <w:b w:val="1"/>
          <w:rtl w:val="1"/>
        </w:rPr>
        <w:t xml:space="preserve"> : </w:t>
      </w:r>
      <w:r w:rsidDel="00000000" w:rsidR="00000000" w:rsidRPr="00000000">
        <w:rPr>
          <w:b w:val="1"/>
          <w:rtl w:val="1"/>
        </w:rPr>
        <w:t xml:space="preserve">ياقوتة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الصراط</w:t>
      </w:r>
      <w:r w:rsidDel="00000000" w:rsidR="00000000" w:rsidRPr="00000000">
        <w:rPr>
          <w:b w:val="1"/>
          <w:rtl w:val="1"/>
        </w:rPr>
        <w:t xml:space="preserve"> / </w:t>
      </w:r>
      <w:r w:rsidDel="00000000" w:rsidR="00000000" w:rsidRPr="00000000">
        <w:rPr>
          <w:b w:val="1"/>
          <w:rtl w:val="1"/>
        </w:rPr>
        <w:t xml:space="preserve">لمحمد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عبد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الواحد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اللغوي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0A">
      <w:pPr>
        <w:widowControl w:val="0"/>
        <w:bidi w:val="1"/>
        <w:spacing w:before="12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المطلب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الرابع</w:t>
      </w:r>
      <w:r w:rsidDel="00000000" w:rsidR="00000000" w:rsidRPr="00000000">
        <w:rPr>
          <w:b w:val="1"/>
          <w:rtl w:val="1"/>
        </w:rPr>
        <w:t xml:space="preserve"> : </w:t>
      </w:r>
      <w:r w:rsidDel="00000000" w:rsidR="00000000" w:rsidRPr="00000000">
        <w:rPr>
          <w:b w:val="1"/>
          <w:rtl w:val="1"/>
        </w:rPr>
        <w:t xml:space="preserve">بحر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العلوم</w:t>
      </w:r>
      <w:r w:rsidDel="00000000" w:rsidR="00000000" w:rsidRPr="00000000">
        <w:rPr>
          <w:b w:val="1"/>
          <w:rtl w:val="1"/>
        </w:rPr>
        <w:t xml:space="preserve"> / </w:t>
      </w:r>
      <w:r w:rsidDel="00000000" w:rsidR="00000000" w:rsidRPr="00000000">
        <w:rPr>
          <w:b w:val="1"/>
          <w:rtl w:val="1"/>
        </w:rPr>
        <w:t xml:space="preserve">لابي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الليث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نصر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محمد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السمرقندي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0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bidi w:val="1"/>
        <w:spacing w:before="120" w:lineRule="auto"/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bidi w:val="1"/>
        <w:spacing w:before="120" w:lineRule="auto"/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bidi w:val="1"/>
        <w:spacing w:before="120" w:lineRule="auto"/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bidi w:val="1"/>
        <w:spacing w:before="120" w:lineRule="auto"/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bidi w:val="1"/>
        <w:spacing w:before="120" w:lineRule="auto"/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bidi w:val="1"/>
        <w:spacing w:before="120" w:lineRule="auto"/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bidi w:val="1"/>
        <w:spacing w:before="120" w:lineRule="auto"/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sz w:val="96"/>
          <w:szCs w:val="96"/>
          <w:rtl w:val="0"/>
        </w:rPr>
        <w:t xml:space="preserve">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أغلب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التفاسير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قليل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رسالة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مدرسة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الهجريين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الثالث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والرابع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حصرت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مفسري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بالمفسرين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أسماؤهم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3"/>
        </w:numPr>
        <w:bidi w:val="1"/>
        <w:spacing w:before="12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1"/>
        </w:rPr>
        <w:t xml:space="preserve">الزجاج</w:t>
      </w:r>
      <w:r w:rsidDel="00000000" w:rsidR="00000000" w:rsidRPr="00000000">
        <w:rPr>
          <w:rtl w:val="1"/>
        </w:rPr>
        <w:t xml:space="preserve"> 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311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كتابه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معاني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وأعرابه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3"/>
        </w:numPr>
        <w:bidi w:val="1"/>
        <w:spacing w:before="12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الأنباري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328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كتابه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إيضاح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الوقف</w:t>
      </w:r>
      <w:r w:rsidDel="00000000" w:rsidR="00000000" w:rsidRPr="00000000">
        <w:rPr>
          <w:rtl w:val="1"/>
        </w:rPr>
        <w:t xml:space="preserve">              </w:t>
      </w:r>
      <w:r w:rsidDel="00000000" w:rsidR="00000000" w:rsidRPr="00000000">
        <w:rPr>
          <w:rtl w:val="1"/>
        </w:rPr>
        <w:t xml:space="preserve">والابتداء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3"/>
        </w:numPr>
        <w:bidi w:val="1"/>
        <w:spacing w:before="12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1"/>
        </w:rPr>
        <w:t xml:space="preserve">النحاس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338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كتابه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إعراب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3"/>
        </w:numPr>
        <w:bidi w:val="1"/>
        <w:spacing w:before="12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خالويه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370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كتابه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الحجة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           </w:t>
      </w:r>
      <w:r w:rsidDel="00000000" w:rsidR="00000000" w:rsidRPr="00000000">
        <w:rPr>
          <w:rtl w:val="1"/>
        </w:rPr>
        <w:t xml:space="preserve">السبع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3"/>
        </w:numPr>
        <w:bidi w:val="1"/>
        <w:spacing w:before="12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الجصاص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370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كتابه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أحكام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b w:val="1"/>
          <w:rtl w:val="1"/>
        </w:rPr>
        <w:t xml:space="preserve">ويلاحظ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هنا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يأتي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bidi w:val="1"/>
        <w:spacing w:before="12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1"/>
        </w:rPr>
        <w:t xml:space="preserve">إنه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</w:t>
      </w:r>
      <w:r w:rsidDel="00000000" w:rsidR="00000000" w:rsidRPr="00000000">
        <w:rPr>
          <w:rtl w:val="1"/>
        </w:rPr>
        <w:t xml:space="preserve">َّ </w:t>
      </w:r>
      <w:r w:rsidDel="00000000" w:rsidR="00000000" w:rsidRPr="00000000">
        <w:rPr>
          <w:rtl w:val="1"/>
        </w:rPr>
        <w:t xml:space="preserve">الطبري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310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مفسري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الثالث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الزجاج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المتوفى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مفسري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الرابع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bidi w:val="1"/>
        <w:spacing w:before="12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1"/>
        </w:rPr>
        <w:t xml:space="preserve">إنه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جهودهم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الأنباري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خالويه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وكتابيهما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المقصود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الباب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خالويه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البديع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السبع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bidi w:val="1"/>
        <w:spacing w:before="12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1"/>
        </w:rPr>
        <w:t xml:space="preserve">إنه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النحاس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إعراب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لكنه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يتناول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معاني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والتحليل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إعراب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bidi w:val="1"/>
        <w:spacing w:before="12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1"/>
        </w:rPr>
        <w:t xml:space="preserve">فاته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المشهورة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والمطبوعة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سأتناولها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المبحث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21">
      <w:pPr>
        <w:widowControl w:val="0"/>
        <w:bidi w:val="1"/>
        <w:spacing w:before="120" w:lineRule="auto"/>
        <w:ind w:left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وبالنظر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لتناول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السابقة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السابقين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فسأقتصر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التفاسير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2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1"/>
        </w:rPr>
        <w:t xml:space="preserve">المطلب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E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العظيم</w:t>
      </w:r>
    </w:p>
    <w:p w:rsidR="00000000" w:rsidDel="00000000" w:rsidP="00000000" w:rsidRDefault="00000000" w:rsidRPr="00000000" w14:paraId="0000002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العظيم</w:t>
      </w:r>
      <w:r w:rsidDel="00000000" w:rsidR="00000000" w:rsidRPr="00000000">
        <w:rPr>
          <w:rtl w:val="1"/>
        </w:rPr>
        <w:t xml:space="preserve"> "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بالمأثور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3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وشرط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يحتج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ضعف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أحاديث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ينازع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1">
      <w:pPr>
        <w:widowControl w:val="0"/>
        <w:bidi w:val="1"/>
        <w:spacing w:before="120" w:lineRule="auto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1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المنهج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:</w:t>
      </w:r>
    </w:p>
    <w:p w:rsidR="00000000" w:rsidDel="00000000" w:rsidP="00000000" w:rsidRDefault="00000000" w:rsidRPr="00000000" w14:paraId="00000032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حاتم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لتفسيره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بمقدمة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موجزة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جدا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أعقبها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مرتبا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والآيات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يذكر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بعضها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ويسرد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ورد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أحاديث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آثار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وجه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قسم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الأحاديث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الوجوه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</w:t>
      </w:r>
    </w:p>
    <w:p w:rsidR="00000000" w:rsidDel="00000000" w:rsidP="00000000" w:rsidRDefault="00000000" w:rsidRPr="00000000" w14:paraId="00000033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rtl w:val="0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المنقري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الوارث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زيد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جدعان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       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يوسف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مهران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كلمة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وإذا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شكرني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". </w:t>
      </w:r>
    </w:p>
    <w:p w:rsidR="00000000" w:rsidDel="00000000" w:rsidP="00000000" w:rsidRDefault="00000000" w:rsidRPr="00000000" w14:paraId="00000034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طاهر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العلاء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كريب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عثمان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سعيد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الزيات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بشر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عمارة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الضحاك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"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الاستجداء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والإقرار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بنعمه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وابتدائه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". </w:t>
      </w:r>
    </w:p>
    <w:p w:rsidR="00000000" w:rsidDel="00000000" w:rsidP="00000000" w:rsidRDefault="00000000" w:rsidRPr="00000000" w14:paraId="00000035">
      <w:pPr>
        <w:widowControl w:val="0"/>
        <w:bidi w:val="1"/>
        <w:spacing w:before="120" w:lineRule="auto"/>
        <w:contextualSpacing w:val="0"/>
        <w:jc w:val="both"/>
        <w:rPr>
          <w:rFonts w:ascii="Simplified Arabic" w:cs="Simplified Arabic" w:eastAsia="Simplified Arabic" w:hAnsi="Simplified Arabic"/>
          <w:color w:val="ff0000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الوجه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الثاني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موسى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إسماعيل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سهيل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صالح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السلولي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كعب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"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ثناء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".</w:t>
      </w:r>
    </w:p>
    <w:p w:rsidR="00000000" w:rsidDel="00000000" w:rsidP="00000000" w:rsidRDefault="00000000" w:rsidRPr="00000000" w14:paraId="00000037">
      <w:pPr>
        <w:widowControl w:val="0"/>
        <w:bidi w:val="1"/>
        <w:spacing w:before="120" w:lineRule="auto"/>
        <w:contextualSpacing w:val="0"/>
        <w:jc w:val="both"/>
        <w:rPr>
          <w:rFonts w:ascii="Simplified Arabic" w:cs="Simplified Arabic" w:eastAsia="Simplified Arabic" w:hAnsi="Simplified Arabic"/>
          <w:color w:val="ff0000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الوجه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الثالث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الرحيم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الفارسي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بزيع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حازم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يحيى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الرحمن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بسطام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الضحاك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"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رداء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الرحمن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".</w:t>
      </w:r>
    </w:p>
    <w:p w:rsidR="00000000" w:rsidDel="00000000" w:rsidP="00000000" w:rsidRDefault="00000000" w:rsidRPr="00000000" w14:paraId="00000039">
      <w:pPr>
        <w:widowControl w:val="0"/>
        <w:bidi w:val="1"/>
        <w:spacing w:before="120" w:lineRule="auto"/>
        <w:contextualSpacing w:val="0"/>
        <w:jc w:val="both"/>
        <w:rPr>
          <w:rFonts w:ascii="Simplified Arabic" w:cs="Simplified Arabic" w:eastAsia="Simplified Arabic" w:hAnsi="Simplified Arabic"/>
          <w:color w:val="ff0000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الوجه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الرابع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القطيعي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حفص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حجاج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مليكة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،"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علمنا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سبحان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,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كلمة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رضيها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لنفسه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رواه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القطيعي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حفص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03B">
      <w:pPr>
        <w:widowControl w:val="0"/>
        <w:bidi w:val="1"/>
        <w:spacing w:before="120" w:lineRule="auto"/>
        <w:contextualSpacing w:val="0"/>
        <w:jc w:val="both"/>
        <w:rPr>
          <w:rFonts w:ascii="Simplified Arabic" w:cs="Simplified Arabic" w:eastAsia="Simplified Arabic" w:hAnsi="Simplified Arabic"/>
          <w:color w:val="ff0000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الوجه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الخامس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وحدثنا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الأشج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حفص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وخالفه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لعلي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وأصحابه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عنده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,"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أكبر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عرفناها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سبحان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كلمة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أحبها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لنفسه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ورضيها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لنفسه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وأحب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bidi w:val="1"/>
        <w:spacing w:before="120" w:lineRule="auto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2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مروياته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:</w:t>
      </w:r>
    </w:p>
    <w:p w:rsidR="00000000" w:rsidDel="00000000" w:rsidP="00000000" w:rsidRDefault="00000000" w:rsidRPr="00000000" w14:paraId="0000003E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بالمأثور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الرواية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لتوجيه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الأقوال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وترجيح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الوجوه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الإعرابية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والاستنباط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مدرسة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مدرسة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 .</w:t>
      </w:r>
    </w:p>
    <w:p w:rsidR="00000000" w:rsidDel="00000000" w:rsidP="00000000" w:rsidRDefault="00000000" w:rsidRPr="00000000" w14:paraId="0000003F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آية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بآية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40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استشهادات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بالآيات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يرويه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طريق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      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لندامة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ويحمل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الضمير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والإيمان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لحسرة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نفس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الكافرين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       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وب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يؤمنون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"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".</w:t>
      </w:r>
    </w:p>
    <w:p w:rsidR="00000000" w:rsidDel="00000000" w:rsidP="00000000" w:rsidRDefault="00000000" w:rsidRPr="00000000" w14:paraId="00000042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الآية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بالحديث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43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الاستشهاد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بالمرويات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44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ff0000"/>
        </w:rPr>
      </w:pP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الفاتحة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سعيد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الأشج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الحباب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عنبسة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قاضي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مطرف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إسحاق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جابر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قسمت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الصلاة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العالمين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مدحني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الرحمن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الرحيم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أثنى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46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الآية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بدلالة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أقوال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الصحابة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4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يشكل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النمط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الرواية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شواهده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48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طاهر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العلاء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عثمان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سعيد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بشر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عمارة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الضحاك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طاعتك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أمورنا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كلها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الآية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بدلالة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أقوال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التابعين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4A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النمط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الثالث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الرواية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شواهده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</w:t>
      </w:r>
    </w:p>
    <w:p w:rsidR="00000000" w:rsidDel="00000000" w:rsidP="00000000" w:rsidRDefault="00000000" w:rsidRPr="00000000" w14:paraId="0000004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سعدان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نصر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البغدادي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النضر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هاشم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القاسم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أنبأ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حمزة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المغيرة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عاصم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الأحول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العالية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اه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اط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وصاحباه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بعده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عاصم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فذكرنا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للحسن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صدق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العالية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ونصح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3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الاستدلال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بالقراءات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التفسير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4D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يكثر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حاتم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الاستدلال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بالقراءات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وشواهده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معدودة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جدا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</w:t>
      </w:r>
    </w:p>
    <w:p w:rsidR="00000000" w:rsidDel="00000000" w:rsidP="00000000" w:rsidRDefault="00000000" w:rsidRPr="00000000" w14:paraId="0000004E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عصام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آدم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جعفر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الربيع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العالية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كعب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فكانوا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شهداء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القيامة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شهداء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نوح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صالح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شعيب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وآل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فرعون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رسلهم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بلغتهم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وأنهم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كذبوا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قراءة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كعب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وتكونوا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شهداء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القيامة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4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الاستدلال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بأسباب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النزول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5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استدل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بأسباب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النزول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5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العدني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نجيح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مجاهد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سلمان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سألت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فذكر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صلاتهم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وعبادتهم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فنزلت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اد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الص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الآخ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5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الاستدلال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بالقصص</w:t>
      </w:r>
      <w:r w:rsidDel="00000000" w:rsidR="00000000" w:rsidRPr="00000000">
        <w:rPr>
          <w:b w:val="1"/>
          <w:rtl w:val="1"/>
        </w:rPr>
        <w:t xml:space="preserve"> ( </w:t>
      </w:r>
      <w:r w:rsidDel="00000000" w:rsidR="00000000" w:rsidRPr="00000000">
        <w:rPr>
          <w:b w:val="1"/>
          <w:rtl w:val="1"/>
        </w:rPr>
        <w:t xml:space="preserve">الإسرائيليات</w:t>
      </w:r>
      <w:r w:rsidDel="00000000" w:rsidR="00000000" w:rsidRPr="00000000">
        <w:rPr>
          <w:b w:val="1"/>
          <w:rtl w:val="1"/>
        </w:rPr>
        <w:t xml:space="preserve"> )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53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الإسرائيليات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54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الس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الأر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اخ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الس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الأر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ِّ 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يف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الر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اح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الس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الس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الأر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لآ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أخبرنا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الطهراني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أنبأ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إسماعيل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الكريم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معقل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:"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عزير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بكلمتك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خلقت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خلقك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مشيئتك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مئونة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تنصب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نصبا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عرشك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والظلمة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الهواء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والملائكة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يحملون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عرشك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ويسبحون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بحمدك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والخلق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مطيع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خاشع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خوفك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يرى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نورك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يسمع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صوت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سمعك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فتحت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خزانة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وطرائف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الحكمة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فكانا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ونهارا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يختلفان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بأمرك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55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6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سند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الروايات</w:t>
      </w:r>
      <w:r w:rsidDel="00000000" w:rsidR="00000000" w:rsidRPr="00000000">
        <w:rPr>
          <w:rtl w:val="0"/>
        </w:rPr>
        <w:t xml:space="preserve"> : </w:t>
      </w:r>
    </w:p>
    <w:p w:rsidR="00000000" w:rsidDel="00000000" w:rsidP="00000000" w:rsidRDefault="00000000" w:rsidRPr="00000000" w14:paraId="00000056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بإيراد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مروياته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يقول</w:t>
      </w:r>
      <w:r w:rsidDel="00000000" w:rsidR="00000000" w:rsidRPr="00000000">
        <w:rPr>
          <w:rtl w:val="1"/>
        </w:rPr>
        <w:t xml:space="preserve"> : </w:t>
      </w:r>
    </w:p>
    <w:p w:rsidR="00000000" w:rsidDel="00000000" w:rsidP="00000000" w:rsidRDefault="00000000" w:rsidRPr="00000000" w14:paraId="0000005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تحريت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إخراج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بأصح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إسنادا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وأشبهها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متنا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فإذا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وجدته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متفقين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أعلاهم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بأصح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الأسانيد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وسميت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موافقيهم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بحذف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الإسناد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اختلافهم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وذكرت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إسنادا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وسميت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موافقيهم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بحذف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الإسناد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ووجدته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التابعين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الصحابة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 </w:t>
      </w:r>
    </w:p>
    <w:p w:rsidR="00000000" w:rsidDel="00000000" w:rsidP="00000000" w:rsidRDefault="00000000" w:rsidRPr="00000000" w14:paraId="00000058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الأسانيد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مقدمته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: </w:t>
      </w:r>
    </w:p>
    <w:p w:rsidR="00000000" w:rsidDel="00000000" w:rsidP="00000000" w:rsidRDefault="00000000" w:rsidRPr="00000000" w14:paraId="00000059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فأما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البقرة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إسناد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حدثنا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عصام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العسقلاني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حدثنا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آدم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جعفر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الرازي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الربيع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العالية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5A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السدي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بلا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إسناد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حدثنا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طلحة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حدثنا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أسباط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السدي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5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الربيع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إسناد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حدثنا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حدثنا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الدشتكي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حدثنا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جعفر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الربيع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أنس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5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مقاتل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قرأت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موسى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شقيق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مزاحم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معروف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مقاتل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5D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7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استفادة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المفسرين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ابن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أبي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حاتم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5E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استفاد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أغلب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حاتم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العظيم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العجاب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السيوطي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المنثور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الإتقان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النقول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واقتبس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الشوكاني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القدير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والآلوسي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المعاني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وغيرهم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5F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8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 </w:t>
      </w:r>
      <w:r w:rsidDel="00000000" w:rsidR="00000000" w:rsidRPr="00000000">
        <w:rPr>
          <w:b w:val="1"/>
          <w:rtl w:val="1"/>
        </w:rPr>
        <w:t xml:space="preserve">ميزات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ابن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أبي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حاتم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امتاز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دفتيه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وآثار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والتابعين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بالإسناد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اختار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الأسانيد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روايات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كثيرة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وبأسانيده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وانفرد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مروياته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المنثور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للسيوطي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السيوطي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الرواية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ينسبها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كثيرا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التفاسير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المفقودة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حبان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التفاسير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كثيرا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الآثار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والمرويات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أوردها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معتمد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العصور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3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 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بالآراء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تؤيد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الأقوال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الواردة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يتعرض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للقضايا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العقائدية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الفقهية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النحوية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يستشهد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بأمثال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وأشعارهم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اتصف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بانصرافه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8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1"/>
        </w:rPr>
        <w:t xml:space="preserve">المطلب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الثاني</w:t>
      </w:r>
    </w:p>
    <w:p w:rsidR="00000000" w:rsidDel="00000000" w:rsidP="00000000" w:rsidRDefault="00000000" w:rsidRPr="00000000" w14:paraId="00000070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1"/>
        </w:rPr>
        <w:t xml:space="preserve">معاني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للنحاس</w:t>
      </w:r>
    </w:p>
    <w:p w:rsidR="00000000" w:rsidDel="00000000" w:rsidP="00000000" w:rsidRDefault="00000000" w:rsidRPr="00000000" w14:paraId="0000007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كتابه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معاني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أقوال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والمفسرين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دقيقا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شاملا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السديد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ويفند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ضعيفا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وكذا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اللغة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فكتابه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لمرويات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حديثية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مؤلفه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ضوء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المعطيات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اللغوية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يلتمس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لأقوال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يوافقها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اللغة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العكس</w:t>
      </w:r>
      <w:r w:rsidDel="00000000" w:rsidR="00000000" w:rsidRPr="00000000">
        <w:rPr>
          <w:rtl w:val="1"/>
        </w:rPr>
        <w:t xml:space="preserve"> . </w:t>
      </w:r>
    </w:p>
    <w:p w:rsidR="00000000" w:rsidDel="00000000" w:rsidP="00000000" w:rsidRDefault="00000000" w:rsidRPr="00000000" w14:paraId="0000007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كتابه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إعراب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) ، </w:t>
      </w:r>
      <w:r w:rsidDel="00000000" w:rsidR="00000000" w:rsidRPr="00000000">
        <w:rPr>
          <w:rtl w:val="1"/>
        </w:rPr>
        <w:t xml:space="preserve">لذا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إحالات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الإعراب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صراحة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فيقول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المعاني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كتابه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معاني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الآخر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إعراب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73">
      <w:pPr>
        <w:widowControl w:val="0"/>
        <w:bidi w:val="1"/>
        <w:spacing w:before="120" w:lineRule="auto"/>
        <w:contextualSpacing w:val="0"/>
        <w:jc w:val="both"/>
        <w:rPr>
          <w:rFonts w:ascii="Simplified Arabic" w:cs="Simplified Arabic" w:eastAsia="Simplified Arabic" w:hAnsi="Simplified Arabic"/>
          <w:b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1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المنهج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تناول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النحاس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الكريم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يمهد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بذكر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نزولها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مكة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المدنية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وعدد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آياتها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وأسمائها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اسم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</w:t>
      </w:r>
    </w:p>
    <w:p w:rsidR="00000000" w:rsidDel="00000000" w:rsidP="00000000" w:rsidRDefault="00000000" w:rsidRPr="00000000" w14:paraId="00000075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يتناول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ويبين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أبرز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الوجوه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الإعرابية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والمعاني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اللغوية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للمفردات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مستعينا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بأقوال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السلف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ومروياتهم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يكتفي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بنقل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الأقوال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يناقشها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نقاشا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علميا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</w:t>
      </w:r>
    </w:p>
    <w:p w:rsidR="00000000" w:rsidDel="00000000" w:rsidP="00000000" w:rsidRDefault="00000000" w:rsidRPr="00000000" w14:paraId="00000076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الفرق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والشكر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أعم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الثناء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التحميد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والجزاء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والشكر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مخصوص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مكافأة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أولاك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معروفا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اثبت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يزيد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ويقال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خبر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وسبيل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الخبر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يفيد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الفائدة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؟</w:t>
      </w:r>
    </w:p>
    <w:p w:rsidR="00000000" w:rsidDel="00000000" w:rsidP="00000000" w:rsidRDefault="00000000" w:rsidRPr="00000000" w14:paraId="00000077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والجواب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سيبويه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بالرفع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ففيه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المعنى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حمدت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حمدا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يرفع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يخبر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الخلق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ينصب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يخبر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وحده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78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2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بالمأثور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79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آية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بآية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7A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ff0000"/>
        </w:rPr>
      </w:pPr>
      <w:r w:rsidDel="00000000" w:rsidR="00000000" w:rsidRPr="00000000">
        <w:rPr>
          <w:rtl w:val="1"/>
        </w:rPr>
        <w:t xml:space="preserve">استدل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بالآيات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معارضة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آخر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أعاد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إياك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توكيدا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ونستعين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فتعاد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توكيدا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إياك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إياه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إياك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ترجع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الغيبة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الخطاب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...       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ور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وعكس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ترجع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الخطاب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الغبية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يح</w:t>
      </w:r>
      <w:r w:rsidDel="00000000" w:rsidR="00000000" w:rsidRPr="00000000">
        <w:rPr>
          <w:b w:val="1"/>
          <w:rtl w:val="1"/>
        </w:rPr>
        <w:t xml:space="preserve">ٍ        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ٍ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الآية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بالحديث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7D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استدلالات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وب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الض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جعفر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الأنباري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إدريس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المكي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اخبرنا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سعيد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اخبرنا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سماك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حاتم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اليهود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مغضوب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والنصارى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ضالون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فإني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حنيف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فرأيت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وجهه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تبسم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فرحا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7E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وروى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بديل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العقيلي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شقيق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وبعضهم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وبعضهم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بوادي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فرسه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وسأله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رجل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هؤلاء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المغضوب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فأشار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اليهود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الضالون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هؤلاء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الضالون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النصارى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يراد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الخاص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مستغن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الشواهد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لشهرته</w:t>
      </w:r>
      <w:r w:rsidDel="00000000" w:rsidR="00000000" w:rsidRPr="00000000">
        <w:rPr>
          <w:rtl w:val="0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7F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1"/>
        </w:rPr>
        <w:t xml:space="preserve">ففي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يظهر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الأحاديث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بسنده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يرويها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أيضا</w:t>
      </w:r>
      <w:r w:rsidDel="00000000" w:rsidR="00000000" w:rsidRPr="00000000">
        <w:rPr>
          <w:rtl w:val="1"/>
        </w:rPr>
        <w:t xml:space="preserve">ً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عكرمة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الحجاج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الأنصاري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سمعت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عرج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كسر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حجة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أخرى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فحدثت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هريرة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صدق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8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الأحاديث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الإسناد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بأسانيد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الأحاديث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82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الآية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بدلالة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أقوال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الصحابة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83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استشهاداته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بأقوال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الصحابة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منعتم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إتمامهما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الإحصار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</w:p>
    <w:p w:rsidR="00000000" w:rsidDel="00000000" w:rsidP="00000000" w:rsidRDefault="00000000" w:rsidRPr="00000000" w14:paraId="00000084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أحدهما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مذهب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المدينة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عدو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جعفر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الأخر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مسعود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الكوفة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العدو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المرض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أصابه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ذينك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فإذا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نحر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وروى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سعيد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جبير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مثله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وروى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طاووس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الآية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بدلالة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أقوال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التابعين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8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الاستشهاد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بأقوال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التابعين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وروى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يحيى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سعيد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الأنصاري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سعيد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المسيب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قرأ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              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ور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فأخذ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الأرض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شيئا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الحصور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يأتي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النساء</w:t>
      </w:r>
      <w:r w:rsidDel="00000000" w:rsidR="00000000" w:rsidRPr="00000000">
        <w:rPr>
          <w:rtl w:val="0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88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3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الاستدلال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بالقراءات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89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كثيرة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استشهد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لتبيان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الآيات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اة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الد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وقرأ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محيصن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ويشهد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بفتح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الياء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الهاء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والرفع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ومعناه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4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الاستدلال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بأسباب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النزول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8B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استدلالات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النحاس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بأسباب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النزول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</w:p>
    <w:p w:rsidR="00000000" w:rsidDel="00000000" w:rsidP="00000000" w:rsidRDefault="00000000" w:rsidRPr="00000000" w14:paraId="0000008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ُّ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وت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ظ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وت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شعبة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إسحاق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سمعت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عازب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نزلت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الأنصار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حجوا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فجاءوا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يدخلوا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البيوت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أبوابها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ولكن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ظهورها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فجاء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رجل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الأنصار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فدخل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فنزلت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ُّ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وت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ظ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5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الاستدلال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بالقصص</w:t>
      </w:r>
      <w:r w:rsidDel="00000000" w:rsidR="00000000" w:rsidRPr="00000000">
        <w:rPr>
          <w:b w:val="1"/>
          <w:rtl w:val="1"/>
        </w:rPr>
        <w:t xml:space="preserve"> ( </w:t>
      </w:r>
      <w:r w:rsidDel="00000000" w:rsidR="00000000" w:rsidRPr="00000000">
        <w:rPr>
          <w:b w:val="1"/>
          <w:rtl w:val="1"/>
        </w:rPr>
        <w:t xml:space="preserve">الإسرائيليات</w:t>
      </w:r>
      <w:r w:rsidDel="00000000" w:rsidR="00000000" w:rsidRPr="00000000">
        <w:rPr>
          <w:b w:val="1"/>
          <w:rtl w:val="1"/>
        </w:rPr>
        <w:t xml:space="preserve"> )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8E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استدلال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بالإسرائيليات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تفسيره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8F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6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الأخذ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بالرأي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المعزز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بالدليل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9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بالآراء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ذاك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تخطئته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للفراء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ًّ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 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الفراء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...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جعفر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الفراء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الدنيا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والمعنى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؛ </w:t>
      </w:r>
      <w:r w:rsidDel="00000000" w:rsidR="00000000" w:rsidRPr="00000000">
        <w:rPr>
          <w:rtl w:val="1"/>
        </w:rPr>
        <w:t xml:space="preserve">لأنه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وعز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ًّ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 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 ،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بقوله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الس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فدل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بمنزلة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عذاب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القبر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91">
      <w:pPr>
        <w:widowControl w:val="0"/>
        <w:bidi w:val="1"/>
        <w:spacing w:before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7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المذاهب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النحوية</w:t>
      </w:r>
      <w:r w:rsidDel="00000000" w:rsidR="00000000" w:rsidRPr="00000000">
        <w:rPr>
          <w:b w:val="1"/>
          <w:rtl w:val="1"/>
        </w:rPr>
        <w:t xml:space="preserve"> :</w:t>
      </w:r>
    </w:p>
    <w:p w:rsidR="00000000" w:rsidDel="00000000" w:rsidP="00000000" w:rsidRDefault="00000000" w:rsidRPr="00000000" w14:paraId="0000009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يصوب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ويخطئ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ويدلل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ويعلل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الأرجح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الأقوال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مدرسة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النحو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المدرسة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البصرية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لكثرة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للفراء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الكوفي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ولأخذه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أصحاب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البصري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93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سبحانه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يرتض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الفراء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أتينا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طائعين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والاحسن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مذهب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النحويين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بأفعال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الش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اج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الكسائي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فأجاز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بالواو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وبالياء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يعرج</w:t>
      </w:r>
      <w:r w:rsidDel="00000000" w:rsidR="00000000" w:rsidRPr="00000000">
        <w:rPr>
          <w:rtl w:val="1"/>
        </w:rPr>
        <w:t xml:space="preserve">         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94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8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أمثال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العرب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وأشعارهم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95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استشهد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أمثال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استشهاده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بأشعرها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بكثير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تضرب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المثل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فتقول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تفرقوا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سبأ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وأيادي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سبأ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مذاهب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سبأ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وطرقها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96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استشهاداته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الشعرية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           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اك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الطائفة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الفرقة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ووجه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النهار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الشاعر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</w:t>
      </w:r>
    </w:p>
    <w:p w:rsidR="00000000" w:rsidDel="00000000" w:rsidP="00000000" w:rsidRDefault="00000000" w:rsidRPr="00000000" w14:paraId="00000097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ضيء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جه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الظ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لام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نير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ً       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مان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الب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حر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ِّ 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 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ظام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بانصرافه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فائدة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للقضايا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العقائدية</w:t>
      </w:r>
      <w:r w:rsidDel="00000000" w:rsidR="00000000" w:rsidRPr="00000000">
        <w:rPr>
          <w:rtl w:val="1"/>
        </w:rPr>
        <w:t xml:space="preserve">  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الفقهية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99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1"/>
        </w:rPr>
        <w:t xml:space="preserve">المطلب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الثالث</w:t>
      </w:r>
    </w:p>
    <w:p w:rsidR="00000000" w:rsidDel="00000000" w:rsidP="00000000" w:rsidRDefault="00000000" w:rsidRPr="00000000" w14:paraId="0000009C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1"/>
        </w:rPr>
        <w:t xml:space="preserve">ياقوتة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الصراط</w:t>
      </w:r>
    </w:p>
    <w:p w:rsidR="00000000" w:rsidDel="00000000" w:rsidP="00000000" w:rsidRDefault="00000000" w:rsidRPr="00000000" w14:paraId="0000009D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يظن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مفقود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حققه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مؤخرا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الدكتور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يعقوب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التركستاني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وقيمته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العلمية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متأتية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مؤلفه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عبدالواحد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اللغوي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المعروف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بغلام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ثعلب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صغير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الحجم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</w:t>
      </w:r>
    </w:p>
    <w:p w:rsidR="00000000" w:rsidDel="00000000" w:rsidP="00000000" w:rsidRDefault="00000000" w:rsidRPr="00000000" w14:paraId="0000009E">
      <w:pPr>
        <w:widowControl w:val="0"/>
        <w:bidi w:val="1"/>
        <w:spacing w:before="120" w:lineRule="auto"/>
        <w:contextualSpacing w:val="0"/>
        <w:jc w:val="both"/>
        <w:rPr>
          <w:rFonts w:ascii="Simplified Arabic" w:cs="Simplified Arabic" w:eastAsia="Simplified Arabic" w:hAnsi="Simplified Arabic"/>
          <w:b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1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المنهج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المنهج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تمثل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بشرح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مفردات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منتقاة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يتوافق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عنوان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</w:t>
      </w:r>
      <w:r w:rsidDel="00000000" w:rsidR="00000000" w:rsidRPr="00000000">
        <w:rPr>
          <w:rtl w:val="1"/>
        </w:rPr>
        <w:t xml:space="preserve">ياقوتة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الصراط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غريب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يشرح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غريب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الكلمات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بكلمات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موجزة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ويبين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معانيها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الأخرى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أسوة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بأصحاب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الوجوه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والنظائر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</w:t>
      </w:r>
    </w:p>
    <w:p w:rsidR="00000000" w:rsidDel="00000000" w:rsidP="00000000" w:rsidRDefault="00000000" w:rsidRPr="00000000" w14:paraId="000000A0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ظ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اج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"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ظ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يتيقنون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ويظنون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آخر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يشكون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يستحيون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يستبقون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A1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ظ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ام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الس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ظ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ظ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العسل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السلوى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طائر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والسلوى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العسل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A2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كتابه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</w:t>
      </w:r>
    </w:p>
    <w:p w:rsidR="00000000" w:rsidDel="00000000" w:rsidP="00000000" w:rsidRDefault="00000000" w:rsidRPr="00000000" w14:paraId="000000A3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2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بالمأثور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A4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آية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بآية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A5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الاستشهاد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بالآيات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لتوضيح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الألفاظ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 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(2)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الص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والهدى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والهدى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إخراج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والهدى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الورع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والطاعة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والهدى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الهادي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هاديا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أيضا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           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الغيب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اسمه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والغيب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محصلا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القلوب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والغيب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المطمئن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الأرض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والغيب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شحم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ثرب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الشاة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tl w:val="0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A6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الآية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بالحديث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والأثر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A7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طبيعة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المختصرة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واقتصاره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شرح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غريب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كانتا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وراء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الاستشهاد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بالحديث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النبوي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وبالشعر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وبالقراءات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امتدادا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لموقف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النحاة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احتجاجهم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بالحديث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النبوي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العموم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</w:t>
      </w:r>
    </w:p>
    <w:p w:rsidR="00000000" w:rsidDel="00000000" w:rsidP="00000000" w:rsidRDefault="00000000" w:rsidRPr="00000000" w14:paraId="000000A8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الاستشهاد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النادر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بالحديث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النبوي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ِّ 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ثعلب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والقمر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لعائشة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تعوذي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الغاسق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7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الاختيار</w:t>
      </w:r>
      <w:r w:rsidDel="00000000" w:rsidR="00000000" w:rsidRPr="00000000">
        <w:rPr>
          <w:rtl w:val="0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A9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وكذا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الاستشهاد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بأقوال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والتابعين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اءهم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"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الأعرابي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ومنه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سلام</w:t>
      </w:r>
      <w:r w:rsidDel="00000000" w:rsidR="00000000" w:rsidRPr="00000000">
        <w:rPr>
          <w:rtl w:val="1"/>
        </w:rPr>
        <w:t xml:space="preserve"> ؟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وصفها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؟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نعرفه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أبناءنا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ونعرفه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أولادنا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كيف</w:t>
      </w:r>
      <w:r w:rsidDel="00000000" w:rsidR="00000000" w:rsidRPr="00000000">
        <w:rPr>
          <w:rtl w:val="1"/>
        </w:rPr>
        <w:t xml:space="preserve"> ؟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المؤمنين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ليشك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ونحن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مصدق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AA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3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الاستدلال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بالقراءات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التفسير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AB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الرغم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الاختصار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استشهد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ليعزز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رأيا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معنى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ترجيح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آخر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تقطع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وصلكم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قرأ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7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انقطع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بينكم</w:t>
      </w:r>
      <w:r w:rsidDel="00000000" w:rsidR="00000000" w:rsidRPr="00000000">
        <w:rPr>
          <w:rtl w:val="0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حا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اضطرابا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ومعاشا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قرأ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7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أراد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راحة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وتخفيفا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للأبدان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بالنوم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لعائشة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تسبخي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تخففي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4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الاستدلال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بأسباب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النزول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A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شهد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بأسباب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النزول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مواضع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B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اطلعوا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استفهاما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هاهنا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إنما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ومنه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تحريم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الخمر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قائما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السماء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بيانا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أشفي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الخمر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فنزلت</w:t>
      </w:r>
      <w:r w:rsidDel="00000000" w:rsidR="00000000" w:rsidRPr="00000000">
        <w:rPr>
          <w:rtl w:val="1"/>
        </w:rPr>
        <w:t xml:space="preserve"> 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فنادى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انتهينا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ربنا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انتهينا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B1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5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الأخذ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بالرأي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المعزز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بالدليل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B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يستدل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المؤلف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أحيانا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ببعض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آراء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العلماء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تعزز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الآراء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أخبرنا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أخبرنا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ثعلب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سلمة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الفراء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أبدلت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الخاتم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بالحلقة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نحيت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وجعلت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مكانه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وبدلت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الخاتم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بالحلقة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أذبته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جعلته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حلقة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وبدلت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الحلقة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بالخاتم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أذبتها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وجعلتها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خاتما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ثعلب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وحقيقة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بدلت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غيرت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الصورة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غيرها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والجوهرة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بعينها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وأبدلت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نحيت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الجوهرة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وجعلت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مكانها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جوهرة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أخرى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..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فعرضت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فاستحسنه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فاصلة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يحيى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قلت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أعزك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؟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بقي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جعلت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أبدلت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ٍ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تبارك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أزال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السيئات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حسنات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وأما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يحيى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جل</w:t>
      </w:r>
      <w:r w:rsidDel="00000000" w:rsidR="00000000" w:rsidRPr="00000000">
        <w:rPr>
          <w:rtl w:val="1"/>
        </w:rPr>
        <w:t xml:space="preserve"> 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ود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ودا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فهذه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الجوهرة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وتبديلها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تغيير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غيرها</w:t>
      </w:r>
      <w:r w:rsidDel="00000000" w:rsidR="00000000" w:rsidRPr="00000000">
        <w:rPr>
          <w:rtl w:val="1"/>
        </w:rPr>
        <w:t xml:space="preserve"> ؛ </w:t>
      </w:r>
      <w:r w:rsidDel="00000000" w:rsidR="00000000" w:rsidRPr="00000000">
        <w:rPr>
          <w:rtl w:val="1"/>
        </w:rPr>
        <w:t xml:space="preserve">لأنها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ناعمة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فاسودت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بالعذاب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فردت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جلودهم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نضجت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الصورة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فالجوهرة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والصورة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مختلفة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B3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6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سند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الروايات</w:t>
      </w:r>
      <w:r w:rsidDel="00000000" w:rsidR="00000000" w:rsidRPr="00000000">
        <w:rPr>
          <w:rtl w:val="0"/>
        </w:rPr>
        <w:t xml:space="preserve"> : </w:t>
      </w:r>
    </w:p>
    <w:p w:rsidR="00000000" w:rsidDel="00000000" w:rsidP="00000000" w:rsidRDefault="00000000" w:rsidRPr="00000000" w14:paraId="000000B4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أخبرنا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زكي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</w:t>
      </w:r>
      <w:r w:rsidDel="00000000" w:rsidR="00000000" w:rsidRPr="00000000">
        <w:rPr>
          <w:rtl w:val="1"/>
        </w:rPr>
        <w:t xml:space="preserve">            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العظيم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المنذري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رحمة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إجازة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أخبرنا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حفص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طبرزذ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أسمع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أنبأنا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إسماعيل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أخبرنا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أخبرنا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الصيدلاني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أخبرنا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الزاهد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أنبأنا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ثعلب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الأعرابي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B5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المنذري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الفراغ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تأليف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ثالث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عشر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رمضان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المعظم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شهور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( 784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هـ</w:t>
      </w:r>
      <w:r w:rsidDel="00000000" w:rsidR="00000000" w:rsidRPr="00000000">
        <w:rPr>
          <w:rtl w:val="0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8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B6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7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أثر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كتب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الأخرى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B7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1"/>
        </w:rPr>
        <w:t xml:space="preserve">مما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الإشارة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الشافعي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أحكام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أنبأنا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ببغداد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أنبأنا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اللغوي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ثعلب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: ( </w:t>
      </w:r>
      <w:r w:rsidDel="00000000" w:rsidR="00000000" w:rsidRPr="00000000">
        <w:rPr>
          <w:rtl w:val="1"/>
        </w:rPr>
        <w:t xml:space="preserve">ياقوتة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الصراط</w:t>
      </w:r>
      <w:r w:rsidDel="00000000" w:rsidR="00000000" w:rsidRPr="00000000">
        <w:rPr>
          <w:rtl w:val="1"/>
        </w:rPr>
        <w:t xml:space="preserve"> ) ،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تجوروا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( </w:t>
      </w:r>
      <w:r w:rsidDel="00000000" w:rsidR="00000000" w:rsidRPr="00000000">
        <w:rPr>
          <w:rtl w:val="1"/>
        </w:rPr>
        <w:t xml:space="preserve">تعولوا</w:t>
      </w:r>
      <w:r w:rsidDel="00000000" w:rsidR="00000000" w:rsidRPr="00000000">
        <w:rPr>
          <w:rtl w:val="1"/>
        </w:rPr>
        <w:t xml:space="preserve"> ) : </w:t>
      </w:r>
      <w:r w:rsidDel="00000000" w:rsidR="00000000" w:rsidRPr="00000000">
        <w:rPr>
          <w:rtl w:val="1"/>
        </w:rPr>
        <w:t xml:space="preserve">تكثر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عيالكم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الياقوتة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وا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تجوروا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B9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وبالنظر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لصغر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واقتصاره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غريب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الألفاظ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يتناول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اللغوية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النحوية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والفقهية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والعقائدية</w:t>
      </w:r>
      <w:r w:rsidDel="00000000" w:rsidR="00000000" w:rsidRPr="00000000">
        <w:rPr>
          <w:rtl w:val="1"/>
        </w:rPr>
        <w:t xml:space="preserve"> ، 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بأمثال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وأشعارهم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BA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1"/>
        </w:rPr>
        <w:t xml:space="preserve">المطلب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الرابع</w:t>
      </w:r>
    </w:p>
    <w:p w:rsidR="00000000" w:rsidDel="00000000" w:rsidP="00000000" w:rsidRDefault="00000000" w:rsidRPr="00000000" w14:paraId="000000BF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1"/>
        </w:rPr>
        <w:t xml:space="preserve">بحر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العلوم</w:t>
      </w:r>
    </w:p>
    <w:p w:rsidR="00000000" w:rsidDel="00000000" w:rsidP="00000000" w:rsidRDefault="00000000" w:rsidRPr="00000000" w14:paraId="000000C0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عرفه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حاجي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خليفة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نصر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الفقيه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السمرقندي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الحنفي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المتوفى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( 375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‍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خمس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وسبعين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وثلاثمائة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مشهور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لطيف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مفيد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أحاديثه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الشيخ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زين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الدين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قاسم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قطلوبغا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الحنفي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المتوفى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( 879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‍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تسع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وتسعين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وثمانمائة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وترجمته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بالتركية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للشهاب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المعروف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عربشاه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الحنفي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المتوفى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( 854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‍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أربع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وخمسين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وثمانمائة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C1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ذاته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صاحبه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بالرواية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بالدراية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غلب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الجانب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النقلي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الجانب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العقلي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ضمن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بالمأثور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C2">
      <w:pPr>
        <w:widowControl w:val="0"/>
        <w:bidi w:val="1"/>
        <w:spacing w:before="120" w:lineRule="auto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1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المنهج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:</w:t>
      </w:r>
    </w:p>
    <w:p w:rsidR="00000000" w:rsidDel="00000000" w:rsidP="00000000" w:rsidRDefault="00000000" w:rsidRPr="00000000" w14:paraId="000000C3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المؤلف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لكتابه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بباب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طلب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وبيان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فضله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واستشهد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بروايات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السلف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رواها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بإسناده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إليهم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يجوز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لأحد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يفسر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برأيه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نفسه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يتعلم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يعرف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وجوه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وأحوال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التنزيل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واستدل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حرمة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بمجرد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الرأي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بأقوال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رواها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السلف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بإسناده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إليهم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أيضا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.</w:t>
      </w:r>
    </w:p>
    <w:p w:rsidR="00000000" w:rsidDel="00000000" w:rsidP="00000000" w:rsidRDefault="00000000" w:rsidRPr="00000000" w14:paraId="000000C4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أيدينا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متكامل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تناوله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لجميع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والآيات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واشتماله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المسائل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العلاقة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القراءات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والمسائل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النحوية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واللغوية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وأسباب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النزول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والناسخ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والمنسوخ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وغيرها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</w:p>
    <w:p w:rsidR="00000000" w:rsidDel="00000000" w:rsidP="00000000" w:rsidRDefault="00000000" w:rsidRPr="00000000" w14:paraId="000000C5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2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بالمأثور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C6">
      <w:pPr>
        <w:widowControl w:val="0"/>
        <w:bidi w:val="1"/>
        <w:spacing w:before="120" w:lineRule="auto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آية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بآية</w:t>
      </w:r>
      <w:r w:rsidDel="00000000" w:rsidR="00000000" w:rsidRPr="00000000">
        <w:rPr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السمرقندي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بشرح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وجد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الآيات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يوضح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</w:t>
      </w:r>
    </w:p>
    <w:p w:rsidR="00000000" w:rsidDel="00000000" w:rsidP="00000000" w:rsidRDefault="00000000" w:rsidRPr="00000000" w14:paraId="000000C8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وجل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ردا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الكافرين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أنظر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اللوح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المحفوظ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الر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أعقد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التوحيد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أعهد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سيجعل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يعطى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</w:t>
      </w:r>
    </w:p>
    <w:p w:rsidR="00000000" w:rsidDel="00000000" w:rsidP="00000000" w:rsidRDefault="00000000" w:rsidRPr="00000000" w14:paraId="000000C9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النصف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النصف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نيف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وثلاثون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موضعا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المواضع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للكلام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المواضع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للتنبيه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الافتتاح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المواضع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يحتمل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الوجهين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</w:t>
      </w:r>
    </w:p>
    <w:p w:rsidR="00000000" w:rsidDel="00000000" w:rsidP="00000000" w:rsidRDefault="00000000" w:rsidRPr="00000000" w14:paraId="000000CA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الر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(78)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يطلع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الغيب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يتخذ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عهدا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ابتدأ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      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CB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اف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ِ (14)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يقتلونك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</w:t>
      </w:r>
    </w:p>
    <w:p w:rsidR="00000000" w:rsidDel="00000000" w:rsidP="00000000" w:rsidRDefault="00000000" w:rsidRPr="00000000" w14:paraId="000000C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للتنبيه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الافتتاح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وجل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 (2)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الآية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بالحديث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CE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استدل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السمرقندي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مواضع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كثيرة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بالأحاديث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المرفوعة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بعضها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بسنده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ونقل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بعضها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الآخر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 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ِّ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         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الثوري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النهي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المنكر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فعلا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يخرج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الاختلاف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يأمر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بالمعروف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وإنما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الأمراء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والنهي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والعلماء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باللسان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والعوام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بالقلب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«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رأى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أحدكم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منكرا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فليغيره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يستطع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فبلسانه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يستطع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فبقلبه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أضعف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الإيمان</w:t>
      </w:r>
      <w:r w:rsidDel="00000000" w:rsidR="00000000" w:rsidRPr="00000000">
        <w:rPr>
          <w:rtl w:val="0"/>
        </w:rPr>
        <w:t xml:space="preserve"> »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C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مروياته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ٌ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،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الفقيه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سعيد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الترمذي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جعفر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الطحاوي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يزيد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هارون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سليمان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سعيد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جبير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يصلي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راحلته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تطوعا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توجهت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مكة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نزلت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الآية</w:t>
      </w:r>
      <w:r w:rsidDel="00000000" w:rsidR="00000000" w:rsidRPr="00000000">
        <w:rPr>
          <w:rtl w:val="0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D0">
      <w:pPr>
        <w:widowControl w:val="0"/>
        <w:bidi w:val="1"/>
        <w:spacing w:before="12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الآية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بدلالة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أقوال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الصحابة</w:t>
      </w:r>
      <w:r w:rsidDel="00000000" w:rsidR="00000000" w:rsidRPr="00000000">
        <w:rPr>
          <w:b w:val="1"/>
          <w:rtl w:val="1"/>
        </w:rPr>
        <w:t xml:space="preserve"> :</w:t>
      </w:r>
    </w:p>
    <w:p w:rsidR="00000000" w:rsidDel="00000000" w:rsidP="00000000" w:rsidRDefault="00000000" w:rsidRPr="00000000" w14:paraId="000000D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السمرقندي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الاستدلال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بأقوال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           </w:t>
      </w:r>
      <w:r w:rsidDel="00000000" w:rsidR="00000000" w:rsidRPr="00000000">
        <w:rPr>
          <w:rtl w:val="1"/>
        </w:rPr>
        <w:t xml:space="preserve">عنهم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D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الفقيه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القاسم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الواسطي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إبراهيم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يوسف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هشام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المسعودي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علقمة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مرثد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المسور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الأحنف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مسعود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أرأيت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والخنازير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نسل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والخنازير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مسخت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مسعود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يمسخ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فجعل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نسلا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ولكنها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نسل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قرود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وخنازير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tl w:val="0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D3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الآية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بدلالة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أقوال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التابعين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D4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السمرقندي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الاستدلال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بأقوال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التابعين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الش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ام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سعيد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المسيب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سئل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قتال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الكفار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الشهر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الحرام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سليمان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يسار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وغيره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D5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3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الاستدلال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بالقراءات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التفسير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D7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الشواهد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الاستدلال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يش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يستر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عوراتكم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معناه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أنزلنا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المطر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ينبت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القطن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والكتان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لباسا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وريشا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قرأ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البصري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          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ورياشا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بالألف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وقرأ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غيره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وريشا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بغير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D8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4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الاستدلال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بأسباب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النزول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D9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نزل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أخرى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وت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اليهود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والمشركون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يضرب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المثل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بالذباب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والعنكبوت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فنزلت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وض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يمتنع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ضرب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المثل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وبيان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بذكر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البعوضة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وبما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فوقها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ويقال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يمنعه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الحياء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يضرب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المثل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DB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5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الاستدلال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بالقصص</w:t>
      </w:r>
      <w:r w:rsidDel="00000000" w:rsidR="00000000" w:rsidRPr="00000000">
        <w:rPr>
          <w:b w:val="1"/>
          <w:rtl w:val="1"/>
        </w:rPr>
        <w:t xml:space="preserve"> ( </w:t>
      </w:r>
      <w:r w:rsidDel="00000000" w:rsidR="00000000" w:rsidRPr="00000000">
        <w:rPr>
          <w:b w:val="1"/>
          <w:rtl w:val="1"/>
        </w:rPr>
        <w:t xml:space="preserve">الإسرائيليات</w:t>
      </w:r>
      <w:r w:rsidDel="00000000" w:rsidR="00000000" w:rsidRPr="00000000">
        <w:rPr>
          <w:b w:val="1"/>
          <w:rtl w:val="1"/>
        </w:rPr>
        <w:t xml:space="preserve"> )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DC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السمرقندي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الروايات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الإسرائيليات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كشأن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أغلب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التفاسير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اذ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يس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يق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(56)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أخبرني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بإسناده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سئل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كعب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الأحبار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إدريس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كعب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إدريس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رجلا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خياطا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ويصوم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النهار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يفتر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وجل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يكتسب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فيتصدق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بالثلثين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فأتاه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الملائكة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إسرافيل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فبشره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بالجنة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حاجة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وددت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أجلي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فأزداد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خيرا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أعلمه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ولكن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شئت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حملتك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فحمله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فلقي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الموت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فسأله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أجله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ففتح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يبق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أجلك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ساعات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سبع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ساعات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أمرت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أقبض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نفسك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فقبض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نفسه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DD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6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أمثال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العرب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وأشعارهم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DE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استشهادات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السمرقندي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بأمثال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وأشعارهم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عيينة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أمثال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وأصله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أعط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أخاك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تمرة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فجمرة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الر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حاجة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وفقرا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الزجاج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العيلة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الفقر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الشاعر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</w:t>
      </w:r>
    </w:p>
    <w:p w:rsidR="00000000" w:rsidDel="00000000" w:rsidP="00000000" w:rsidRDefault="00000000" w:rsidRPr="00000000" w14:paraId="000000E0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قير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ناه</w:t>
      </w:r>
      <w:r w:rsidDel="00000000" w:rsidR="00000000" w:rsidRPr="00000000">
        <w:rPr>
          <w:rtl w:val="1"/>
        </w:rPr>
        <w:t xml:space="preserve">ُ      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ُّ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عيل</w:t>
      </w:r>
      <w:r w:rsidDel="00000000" w:rsidR="00000000" w:rsidRPr="00000000">
        <w:rPr>
          <w:rtl w:val="1"/>
        </w:rPr>
        <w:t xml:space="preserve">ُ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widowControl w:val="0"/>
        <w:bidi w:val="1"/>
        <w:spacing w:before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7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موقفه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الكلام</w:t>
      </w:r>
      <w:r w:rsidDel="00000000" w:rsidR="00000000" w:rsidRPr="00000000">
        <w:rPr>
          <w:b w:val="1"/>
          <w:rtl w:val="1"/>
        </w:rPr>
        <w:t xml:space="preserve"> :</w:t>
      </w:r>
    </w:p>
    <w:p w:rsidR="00000000" w:rsidDel="00000000" w:rsidP="00000000" w:rsidRDefault="00000000" w:rsidRPr="00000000" w14:paraId="000000E2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حفل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ومناقشة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القضايا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الكلامية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ُّ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ير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ير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:    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ضرب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المثل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ليضل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كثيرا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يخذلهم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يوفقهم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للهدى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ير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يوفق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معرفة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المثل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كثيرا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المؤمنون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بعضهم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معناه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ُّ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ير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يسميه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ضالا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فسقت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فلانا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سميته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فاسقا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يضل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أحدا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طريق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المعتزلة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خلاف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أقاويل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المفسرين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محتمل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أيضا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ضلله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ضالا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أضله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ضالا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ولكن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معناه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ذكره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المفسرون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يخذل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كثيرا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مجازاة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لكفرهم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E3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8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الأحكام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الفقهية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E4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اشتمل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الفقهية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"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اض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ٍ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المدينة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المضطر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يأكل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يشبع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حنيفة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وأصحابه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رحمهم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يأكل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مقدار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يأمن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الموت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الشافعي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رحمه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E5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9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المسائل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النحوية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E6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تعرض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السمرقندي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للمسائل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النحوية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والإعرابية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حرم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معناه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يقرأ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فاتبعوه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تخالفوه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الزجاج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منصوب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التأكيد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معناه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           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ويجوز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منصوبا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جهة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ألزموا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   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/>
      <w:pgMar w:bottom="1440" w:top="1440" w:left="1800" w:right="1800" w:header="720" w:footer="720"/>
      <w:pgNumType w:start="427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Simplified Arabic"/>
  <w:font w:name="Calibri"/>
  <w:font w:name="AGA Arabesq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مدرسة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113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125 .</w:t>
      </w:r>
    </w:p>
  </w:footnote>
  <w:footnote w:id="1"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126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140 .</w:t>
      </w:r>
    </w:p>
  </w:footnote>
  <w:footnote w:id="2"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141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153 .</w:t>
      </w:r>
    </w:p>
  </w:footnote>
  <w:footnote w:id="3"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154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168 .</w:t>
      </w:r>
    </w:p>
  </w:footnote>
  <w:footnote w:id="4"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169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186 .</w:t>
      </w:r>
    </w:p>
  </w:footnote>
  <w:footnote w:id="5"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مباحث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القطان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للنشر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والتوزيع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 ،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1421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2000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 15 .</w:t>
      </w:r>
    </w:p>
  </w:footnote>
  <w:footnote w:id="6"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مقدمة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أصول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لشيخ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لصالح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العزيز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التوحيد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13 .</w:t>
      </w:r>
    </w:p>
  </w:footnote>
  <w:footnote w:id="7"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الفاتحة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2 .</w:t>
      </w:r>
      <w:r w:rsidDel="00000000" w:rsidR="00000000" w:rsidRPr="00000000">
        <w:rPr>
          <w:rtl w:val="0"/>
        </w:rPr>
      </w:r>
    </w:p>
  </w:footnote>
  <w:footnote w:id="8"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1/26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27 .</w:t>
      </w:r>
      <w:r w:rsidDel="00000000" w:rsidR="00000000" w:rsidRPr="00000000">
        <w:rPr>
          <w:rtl w:val="0"/>
        </w:rPr>
      </w:r>
    </w:p>
  </w:footnote>
  <w:footnote w:id="9"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الحاقة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50 .</w:t>
      </w:r>
    </w:p>
  </w:footnote>
  <w:footnote w:id="10"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الشعراء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200 .</w:t>
      </w:r>
    </w:p>
  </w:footnote>
  <w:footnote w:id="11"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سبأ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54 .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10/3372 .</w:t>
      </w:r>
    </w:p>
  </w:footnote>
  <w:footnote w:id="12"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1/28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تخريجه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181 .</w:t>
      </w:r>
    </w:p>
  </w:footnote>
  <w:footnote w:id="13"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الفاتحة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5 .</w:t>
      </w:r>
    </w:p>
  </w:footnote>
  <w:footnote w:id="14"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1/29 .</w:t>
      </w:r>
    </w:p>
  </w:footnote>
  <w:footnote w:id="15"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الفاتحة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6 .</w:t>
      </w:r>
    </w:p>
  </w:footnote>
  <w:footnote w:id="16"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1/30. </w:t>
      </w:r>
    </w:p>
  </w:footnote>
  <w:footnote w:id="17"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143 .</w:t>
      </w:r>
    </w:p>
  </w:footnote>
  <w:footnote w:id="18"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1/250. </w:t>
      </w:r>
    </w:p>
  </w:footnote>
  <w:footnote w:id="19"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62 .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1/126 .</w:t>
      </w:r>
    </w:p>
  </w:footnote>
  <w:footnote w:id="20"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164 .</w:t>
      </w:r>
    </w:p>
  </w:footnote>
  <w:footnote w:id="21"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1/274 .</w:t>
      </w:r>
    </w:p>
  </w:footnote>
  <w:footnote w:id="22"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1/14. </w:t>
      </w:r>
    </w:p>
  </w:footnote>
  <w:footnote w:id="23"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15 .</w:t>
      </w:r>
    </w:p>
  </w:footnote>
  <w:footnote w:id="24"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استشهد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بمروياته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( 1052 )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1/22 ، 23 ، 24 ، 25 ، 28 ، 31 ، 37 . </w:t>
      </w:r>
    </w:p>
  </w:footnote>
  <w:footnote w:id="25"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استشهد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بمروياته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( 127 )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307 ، 235 ، 246 ، 248 ، 256 . </w:t>
      </w:r>
    </w:p>
  </w:footnote>
  <w:footnote w:id="26"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استشهد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بمروياته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( 2297 )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19 ، 23 ، 24 ، 30 ، 34 ، 38 . </w:t>
      </w:r>
    </w:p>
  </w:footnote>
  <w:footnote w:id="27"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استشهد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بمروياته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( 138 )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 1/42 ، 46 ، 47 ، 51 ، 52. </w:t>
      </w:r>
    </w:p>
  </w:footnote>
  <w:footnote w:id="28"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استشهد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بمروياته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( 130 )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19 ، 24 ، 25 ، 26 ، 28 ، 31 ، 32 .</w:t>
      </w:r>
    </w:p>
  </w:footnote>
  <w:footnote w:id="29"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استشهد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بمروياته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( 630 )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 1/18 ، 20 ، 23 ، 33 ، 34 ، 38 ، 41 .</w:t>
      </w:r>
    </w:p>
  </w:footnote>
  <w:footnote w:id="30"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استشهد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بمروياته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( 400 )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 3/8 ، 41 ، 45 ، 52 ، 143 ، 148 ، 159 . </w:t>
      </w:r>
    </w:p>
  </w:footnote>
  <w:footnote w:id="31"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1/10 .</w:t>
      </w:r>
    </w:p>
  </w:footnote>
  <w:footnote w:id="32"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343 .</w:t>
      </w:r>
    </w:p>
  </w:footnote>
  <w:footnote w:id="33"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الفاتحة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2 .</w:t>
      </w:r>
    </w:p>
  </w:footnote>
  <w:footnote w:id="34"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1/57 .</w:t>
      </w:r>
    </w:p>
  </w:footnote>
  <w:footnote w:id="35"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الفاتحة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5 .</w:t>
      </w:r>
    </w:p>
  </w:footnote>
  <w:footnote w:id="36"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21 .</w:t>
      </w:r>
    </w:p>
  </w:footnote>
  <w:footnote w:id="37"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22 . </w:t>
      </w:r>
    </w:p>
  </w:footnote>
  <w:footnote w:id="38"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22 .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1/65 .</w:t>
      </w:r>
    </w:p>
  </w:footnote>
  <w:footnote w:id="39"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الفاتحة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7 . </w:t>
      </w:r>
    </w:p>
  </w:footnote>
  <w:footnote w:id="40"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الترمذي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5/53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( 2953 )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</w:footnote>
  <w:footnote w:id="41"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5/32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الهيثمي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ورجاله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الزوائد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6/310. </w:t>
      </w:r>
    </w:p>
  </w:footnote>
  <w:footnote w:id="42"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1/69 .</w:t>
      </w:r>
    </w:p>
  </w:footnote>
  <w:footnote w:id="43"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1/117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:2/ 381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الإسناد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ناصر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الألباني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1420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 432 .</w:t>
      </w:r>
    </w:p>
  </w:footnote>
  <w:footnote w:id="44"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196 .</w:t>
      </w:r>
    </w:p>
  </w:footnote>
  <w:footnote w:id="45"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1/116 .</w:t>
      </w:r>
    </w:p>
  </w:footnote>
  <w:footnote w:id="46"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39 .</w:t>
      </w:r>
    </w:p>
  </w:footnote>
  <w:footnote w:id="47"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1/393 .</w:t>
      </w:r>
    </w:p>
  </w:footnote>
  <w:footnote w:id="48"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204 .</w:t>
      </w:r>
    </w:p>
  </w:footnote>
  <w:footnote w:id="49"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1/148 .</w:t>
      </w:r>
    </w:p>
  </w:footnote>
  <w:footnote w:id="50"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198 .</w:t>
      </w:r>
    </w:p>
  </w:footnote>
  <w:footnote w:id="51"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1/105 .</w:t>
      </w:r>
    </w:p>
  </w:footnote>
  <w:footnote w:id="52"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46 .</w:t>
      </w:r>
    </w:p>
  </w:footnote>
  <w:footnote w:id="53"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46 .</w:t>
      </w:r>
    </w:p>
  </w:footnote>
  <w:footnote w:id="54"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6/229 .</w:t>
      </w:r>
    </w:p>
  </w:footnote>
  <w:footnote w:id="55"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فصلت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11 .</w:t>
      </w:r>
    </w:p>
  </w:footnote>
  <w:footnote w:id="56"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4 .</w:t>
      </w:r>
    </w:p>
  </w:footnote>
  <w:footnote w:id="57"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6/229 .</w:t>
      </w:r>
    </w:p>
  </w:footnote>
  <w:footnote w:id="58"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سبأ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19 .</w:t>
      </w:r>
    </w:p>
  </w:footnote>
  <w:footnote w:id="59"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5/412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الأمثال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الميداني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النيسابوري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محيى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عبدالحميد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1/275 .</w:t>
      </w:r>
    </w:p>
  </w:footnote>
  <w:footnote w:id="60"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72 .</w:t>
      </w:r>
    </w:p>
  </w:footnote>
  <w:footnote w:id="61"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1/420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لبيد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ربيعة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الكلابي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إحسان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الكويت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1962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69 .</w:t>
      </w:r>
    </w:p>
  </w:footnote>
  <w:footnote w:id="62"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46. </w:t>
      </w:r>
    </w:p>
  </w:footnote>
  <w:footnote w:id="63"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ياقوتة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الصراط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 .</w:t>
      </w:r>
    </w:p>
  </w:footnote>
  <w:footnote w:id="64"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57 .</w:t>
      </w:r>
    </w:p>
  </w:footnote>
  <w:footnote w:id="65"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ياقوتة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الصراط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 .</w:t>
      </w:r>
    </w:p>
  </w:footnote>
  <w:footnote w:id="66"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3 .</w:t>
      </w:r>
    </w:p>
  </w:footnote>
  <w:footnote w:id="67"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10. </w:t>
      </w:r>
    </w:p>
  </w:footnote>
  <w:footnote w:id="68"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ياقوتة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الصراط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 .</w:t>
      </w:r>
    </w:p>
  </w:footnote>
  <w:footnote w:id="69"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3 . </w:t>
      </w:r>
    </w:p>
  </w:footnote>
  <w:footnote w:id="70"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المستدرك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الصحيحين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2/589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الإسناد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يخرجاه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</w:footnote>
  <w:footnote w:id="71"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ياقوتة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الصراط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44 .</w:t>
      </w:r>
    </w:p>
  </w:footnote>
  <w:footnote w:id="72"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20 .</w:t>
      </w:r>
    </w:p>
  </w:footnote>
  <w:footnote w:id="73"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ياقوتة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الصراط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 .</w:t>
      </w:r>
    </w:p>
  </w:footnote>
  <w:footnote w:id="74"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94 .</w:t>
      </w:r>
    </w:p>
  </w:footnote>
  <w:footnote w:id="75"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قراءة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عاصم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والكسائي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وحفص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عاصم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للفراء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1/345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والسبعة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مجاهد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263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العشر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2/260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وإتحاف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فضلاء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البشر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213. </w:t>
      </w:r>
      <w:r w:rsidDel="00000000" w:rsidR="00000000" w:rsidRPr="00000000">
        <w:rPr>
          <w:rtl w:val="0"/>
        </w:rPr>
      </w:r>
    </w:p>
  </w:footnote>
  <w:footnote w:id="76"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ياقوتة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الصراط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 . </w:t>
      </w:r>
    </w:p>
  </w:footnote>
  <w:footnote w:id="77"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المزمل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7 .</w:t>
      </w:r>
    </w:p>
  </w:footnote>
  <w:footnote w:id="78"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قرأ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يعمر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وعكرمة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 639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والبحر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              8/ 363 .</w:t>
      </w:r>
      <w:r w:rsidDel="00000000" w:rsidR="00000000" w:rsidRPr="00000000">
        <w:rPr>
          <w:rtl w:val="0"/>
        </w:rPr>
      </w:r>
    </w:p>
  </w:footnote>
  <w:footnote w:id="79"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6/215 .</w:t>
      </w:r>
      <w:r w:rsidDel="00000000" w:rsidR="00000000" w:rsidRPr="00000000">
        <w:rPr>
          <w:rtl w:val="0"/>
        </w:rPr>
      </w:r>
    </w:p>
  </w:footnote>
  <w:footnote w:id="80"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ياقوتة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الصراط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40. </w:t>
      </w:r>
    </w:p>
  </w:footnote>
  <w:footnote w:id="81"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الصافات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54 .</w:t>
      </w:r>
    </w:p>
  </w:footnote>
  <w:footnote w:id="82"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91 .</w:t>
      </w:r>
    </w:p>
  </w:footnote>
  <w:footnote w:id="83"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ياقوتة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الصراط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33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والأثر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المستدرك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الصحيحين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2/305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الإسناد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الشيخين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يخرجاه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</w:p>
  </w:footnote>
  <w:footnote w:id="84"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15 . </w:t>
      </w:r>
    </w:p>
  </w:footnote>
  <w:footnote w:id="85"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الفرقان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70 .</w:t>
      </w:r>
    </w:p>
  </w:footnote>
  <w:footnote w:id="86"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56 .</w:t>
      </w:r>
    </w:p>
  </w:footnote>
  <w:footnote w:id="87"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ياقوتة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الصراط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13 .</w:t>
      </w:r>
    </w:p>
  </w:footnote>
  <w:footnote w:id="88"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ياقوتة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الصراط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2 .</w:t>
      </w:r>
    </w:p>
  </w:footnote>
  <w:footnote w:id="89"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 44 .</w:t>
      </w:r>
    </w:p>
  </w:footnote>
  <w:footnote w:id="90"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3 .</w:t>
      </w:r>
    </w:p>
  </w:footnote>
  <w:footnote w:id="91"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إدريس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حققه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عبدالغني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عبدالخالق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1975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 / 177 .</w:t>
      </w:r>
    </w:p>
  </w:footnote>
  <w:footnote w:id="92"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ياقوتة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الصراط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 .</w:t>
      </w:r>
    </w:p>
  </w:footnote>
  <w:footnote w:id="93"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1/441 .</w:t>
      </w:r>
    </w:p>
  </w:footnote>
  <w:footnote w:id="94"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والمفسرون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1/224 .</w:t>
      </w:r>
    </w:p>
  </w:footnote>
  <w:footnote w:id="95"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78 .</w:t>
      </w:r>
    </w:p>
  </w:footnote>
  <w:footnote w:id="96"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79 .</w:t>
      </w:r>
    </w:p>
  </w:footnote>
  <w:footnote w:id="97"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79 .</w:t>
      </w:r>
    </w:p>
  </w:footnote>
  <w:footnote w:id="98"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الشعراء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14 .</w:t>
      </w:r>
    </w:p>
  </w:footnote>
  <w:footnote w:id="99"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التكاثر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2/386 .</w:t>
      </w:r>
    </w:p>
  </w:footnote>
  <w:footnote w:id="100"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44 .</w:t>
      </w:r>
    </w:p>
  </w:footnote>
  <w:footnote w:id="101"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104 .</w:t>
      </w:r>
    </w:p>
  </w:footnote>
  <w:footnote w:id="102"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2/386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1/69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( 49 ) .</w:t>
      </w:r>
    </w:p>
  </w:footnote>
  <w:footnote w:id="103"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115 .</w:t>
      </w:r>
    </w:p>
  </w:footnote>
  <w:footnote w:id="104"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1/113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خزيمة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وصححه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2/252 .</w:t>
      </w:r>
    </w:p>
  </w:footnote>
  <w:footnote w:id="105"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65 .</w:t>
      </w:r>
    </w:p>
  </w:footnote>
  <w:footnote w:id="106"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1/88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1/390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زهدي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1399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4/198 .</w:t>
      </w:r>
    </w:p>
  </w:footnote>
  <w:footnote w:id="107"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217 .</w:t>
      </w:r>
    </w:p>
  </w:footnote>
  <w:footnote w:id="108"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1/170. </w:t>
      </w:r>
    </w:p>
  </w:footnote>
  <w:footnote w:id="109"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26 .</w:t>
      </w:r>
    </w:p>
  </w:footnote>
  <w:footnote w:id="110"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1/170.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إتحاف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فضلاء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295 .</w:t>
      </w:r>
    </w:p>
  </w:footnote>
  <w:footnote w:id="111"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26 .</w:t>
      </w:r>
    </w:p>
  </w:footnote>
  <w:footnote w:id="112"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73 .</w:t>
      </w:r>
    </w:p>
  </w:footnote>
  <w:footnote w:id="113"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العنكبوت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41 .</w:t>
      </w:r>
    </w:p>
  </w:footnote>
  <w:footnote w:id="114"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1/62 .</w:t>
      </w:r>
    </w:p>
  </w:footnote>
  <w:footnote w:id="115"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57 .</w:t>
      </w:r>
    </w:p>
  </w:footnote>
  <w:footnote w:id="116"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2/378 .</w:t>
      </w:r>
    </w:p>
  </w:footnote>
  <w:footnote w:id="117"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الأمثال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2/22 . </w:t>
      </w:r>
    </w:p>
  </w:footnote>
  <w:footnote w:id="118"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الزخرف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36 .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3/245 .</w:t>
      </w:r>
    </w:p>
  </w:footnote>
  <w:footnote w:id="119"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28 .</w:t>
      </w:r>
    </w:p>
  </w:footnote>
  <w:footnote w:id="120"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2/54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لأحيحة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الحلاج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الأشباه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والنظائر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أشعار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المتقدمين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والجاهليين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والمخضرمين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تأليف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380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390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هاشم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الخالدي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اشتهرا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بالخالديين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1958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21 .</w:t>
      </w:r>
    </w:p>
  </w:footnote>
  <w:footnote w:id="121"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26 .</w:t>
      </w:r>
    </w:p>
  </w:footnote>
  <w:footnote w:id="122"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1/63 .</w:t>
      </w:r>
    </w:p>
  </w:footnote>
  <w:footnote w:id="123"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3 .</w:t>
      </w:r>
    </w:p>
  </w:footnote>
  <w:footnote w:id="124"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1/394 .</w:t>
      </w:r>
    </w:p>
  </w:footnote>
  <w:footnote w:id="125"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24 .</w:t>
      </w:r>
    </w:p>
  </w:footnote>
  <w:footnote w:id="126"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23 .</w:t>
      </w:r>
    </w:p>
  </w:footnote>
  <w:footnote w:id="127"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1/319 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center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-"/>
      <w:lvlJc w:val="center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center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