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الث</w:t>
      </w:r>
      <w:r w:rsidDel="00000000" w:rsidR="00000000" w:rsidRPr="00000000">
        <w:rPr>
          <w:sz w:val="40"/>
          <w:szCs w:val="40"/>
          <w:rtl w:val="1"/>
        </w:rPr>
        <w:t xml:space="preserve">َّ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دور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المفسرين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العراقيين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وأثرهم</w:t>
      </w:r>
    </w:p>
    <w:p w:rsidR="00000000" w:rsidDel="00000000" w:rsidP="00000000" w:rsidRDefault="00000000" w:rsidRPr="00000000" w14:paraId="00000005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b w:val="1"/>
          <w:rtl w:val="1"/>
        </w:rPr>
        <w:t xml:space="preserve">ويشتمل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تمهيد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وأربعة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مطالب</w:t>
      </w:r>
      <w:r w:rsidDel="00000000" w:rsidR="00000000" w:rsidRPr="00000000">
        <w:rPr>
          <w:b w:val="1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contextualSpacing w:val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العظيم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لابن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حاتم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معاني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القرآن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للنحاس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ياقوتة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الصراط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لمحمد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الواحد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اللغوي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الرابع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بحر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العلوم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الليث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نصر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السمرقندي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sz w:val="96"/>
          <w:szCs w:val="96"/>
          <w:rtl w:val="0"/>
        </w:rPr>
        <w:t xml:space="preserve">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قليل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والرابع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حصرت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مفسري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أسماؤهم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bidi w:val="1"/>
        <w:spacing w:before="120" w:lineRule="auto"/>
        <w:ind w:left="720" w:hanging="36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الزجاج</w:t>
      </w:r>
      <w:r w:rsidDel="00000000" w:rsidR="00000000" w:rsidRPr="00000000">
        <w:rPr>
          <w:rtl w:val="1"/>
        </w:rPr>
        <w:t xml:space="preserve">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311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وأعرابه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bidi w:val="1"/>
        <w:spacing w:before="120" w:lineRule="auto"/>
        <w:ind w:left="720" w:hanging="360"/>
        <w:contextualSpacing w:val="0"/>
        <w:jc w:val="both"/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الأنباري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328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إيضاح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            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bidi w:val="1"/>
        <w:spacing w:before="120" w:lineRule="auto"/>
        <w:ind w:left="720" w:hanging="36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338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bidi w:val="1"/>
        <w:spacing w:before="120" w:lineRule="auto"/>
        <w:ind w:left="720" w:hanging="360"/>
        <w:contextualSpacing w:val="0"/>
        <w:jc w:val="both"/>
        <w:rPr/>
      </w:pP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خالويه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370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الحجة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bidi w:val="1"/>
        <w:spacing w:before="120" w:lineRule="auto"/>
        <w:ind w:left="720" w:hanging="360"/>
        <w:contextualSpacing w:val="0"/>
        <w:jc w:val="both"/>
        <w:rPr/>
      </w:pP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الجصاص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370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ويلاحظ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هنا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يأتي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bidi w:val="1"/>
        <w:spacing w:before="120" w:lineRule="auto"/>
        <w:ind w:left="720" w:hanging="36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310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مفسري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الزجاج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المتوفى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مفسري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bidi w:val="1"/>
        <w:spacing w:before="120" w:lineRule="auto"/>
        <w:ind w:left="720" w:hanging="36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خالويه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وكتابيهما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المقصود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خالويه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البديع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bidi w:val="1"/>
        <w:spacing w:before="120" w:lineRule="auto"/>
        <w:ind w:left="720" w:hanging="36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محسوبا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لكنه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bidi w:val="1"/>
        <w:spacing w:before="120" w:lineRule="auto"/>
        <w:ind w:left="720" w:hanging="360"/>
        <w:contextualSpacing w:val="0"/>
        <w:jc w:val="both"/>
        <w:rPr/>
      </w:pPr>
      <w:r w:rsidDel="00000000" w:rsidR="00000000" w:rsidRPr="00000000">
        <w:rPr>
          <w:rtl w:val="1"/>
        </w:rPr>
        <w:t xml:space="preserve">فاته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المشهورة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والمطبوعة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سأتناولها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المبحث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1">
      <w:pPr>
        <w:widowControl w:val="0"/>
        <w:bidi w:val="1"/>
        <w:spacing w:before="120" w:lineRule="auto"/>
        <w:ind w:left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فسأقتصر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العظيم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العظيم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بالمأثور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وشرط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ينازع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لتفسيره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بمقدمة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موجزة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أعقبها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مرتبا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ويسرد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آثار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الوجوه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rtl w:val="0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المنقري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الوارث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جدعان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مهران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شكرني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". </w:t>
      </w:r>
    </w:p>
    <w:p w:rsidR="00000000" w:rsidDel="00000000" w:rsidP="00000000" w:rsidRDefault="00000000" w:rsidRPr="00000000" w14:paraId="0000003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عمارة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الضحاك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الاستجداء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والإقرار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بنعمه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وابتدائه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". </w:t>
      </w:r>
    </w:p>
    <w:p w:rsidR="00000000" w:rsidDel="00000000" w:rsidP="00000000" w:rsidRDefault="00000000" w:rsidRPr="00000000" w14:paraId="00000035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ff0000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الوجه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سهيل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السلولي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".</w:t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ff0000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الوجه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الرحيم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الفارسي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بزيع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حازم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بسطام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الضحاك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رداء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".</w:t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ff0000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الوجه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القطيعي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حفص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مليكة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،"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سبحان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,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لنفسه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القطيعي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حفص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ff0000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الوجه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الخامس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الأشج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حفص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وخالفه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وأصحابه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,"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عرفناها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سبحان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لنفسه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ورضيها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لنفسه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وأحب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2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بالمأثور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لتوجيه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وترجيح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الوجوه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الإعرابية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والاستنباط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 .</w:t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بآية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يرويه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      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لندامة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ويحمل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الضمير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والإيمان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لحسرة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الكافرين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يؤمنون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".</w:t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بالحديث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4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ff0000"/>
        </w:rPr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الحباب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عنبسة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مطرف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قسمت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مدحني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6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يشكل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شواهده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4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عمارة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الضحاك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طاعتك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أمورنا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التابعين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النمط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شواهده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4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سعدان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البغدادي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النضر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هاشم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أنبأ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حمزة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المغيرة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عاصم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العالية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وصاحباه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عاصم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فذكرنا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صدق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العالية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ونصح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الاستدلال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بالقراءات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وشواهده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معدودة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4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عصام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الربيع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القيامة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وآل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فرعون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بلغتهم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كذبوا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وتكونوا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القيامة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النزول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5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استدل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5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العدني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نجيح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سألت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صلاتهم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وعبادتهم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الآخ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بالقصص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الإسرائيليات</w:t>
      </w:r>
      <w:r w:rsidDel="00000000" w:rsidR="00000000" w:rsidRPr="00000000">
        <w:rPr>
          <w:b w:val="1"/>
          <w:rtl w:val="1"/>
        </w:rPr>
        <w:t xml:space="preserve"> )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5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الإسرائيليات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5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يف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الطهراني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أنبأ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بكلمتك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مشيئتك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مئونة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تنصب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عرشك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والظلمة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والملائكة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يحملون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عرشك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ويسبحون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بحمدك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مطيع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خاشع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خوفك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فتحت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خزانة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وطرائف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الحكمة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ونهارا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يختلفان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بأمرك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5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الروايات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5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بإيراد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: </w:t>
      </w:r>
    </w:p>
    <w:p w:rsidR="00000000" w:rsidDel="00000000" w:rsidP="00000000" w:rsidRDefault="00000000" w:rsidRPr="00000000" w14:paraId="0000005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تحريت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إخراج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بأصح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إسنادا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وأشبهها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متنا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بأصح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الأسانيد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وسميت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موافقيهم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الإسناد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وذكرت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إسنادا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وسميت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موافقيهم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بحذف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الإسناد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ووجدته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5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الأسانيد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</w:p>
    <w:p w:rsidR="00000000" w:rsidDel="00000000" w:rsidP="00000000" w:rsidRDefault="00000000" w:rsidRPr="00000000" w14:paraId="0000005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فأما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البقرة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إسناد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العسقلاني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الرازي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العالية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5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السدي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بلا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إسناد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زرعة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السدي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5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إسناد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الدشتكي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أنس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5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مقاتل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موسى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شقيق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مزاحم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معروف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مقاتل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D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7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استفادة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المفسرين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حاتم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استفاد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العظيم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العجاب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السيوطي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المنثور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الإتقان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النقول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واقتبس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الشوكاني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القدير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والآلوسي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المعاني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وغيرهم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8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ميزات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حاتم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امتاز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دفتيه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الأسانيد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وبأسانيده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مروياته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ينسبها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المفقودة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والمرويات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أوردها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معتمد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بالآراء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تؤيد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للقضايا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العقائدية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وأشعارهم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contextualSpacing w:val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بانصرافه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</w:p>
    <w:p w:rsidR="00000000" w:rsidDel="00000000" w:rsidP="00000000" w:rsidRDefault="00000000" w:rsidRPr="00000000" w14:paraId="00000070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للنحاس</w:t>
      </w:r>
    </w:p>
    <w:p w:rsidR="00000000" w:rsidDel="00000000" w:rsidP="00000000" w:rsidRDefault="00000000" w:rsidRPr="00000000" w14:paraId="0000007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دقيقا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شاملا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السديد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ويفند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ضعيفا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سردا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مؤلفه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المعطيات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يلتمس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يوافقها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العكس</w:t>
      </w:r>
      <w:r w:rsidDel="00000000" w:rsidR="00000000" w:rsidRPr="00000000">
        <w:rPr>
          <w:rtl w:val="1"/>
        </w:rPr>
        <w:t xml:space="preserve"> . </w:t>
      </w:r>
    </w:p>
    <w:p w:rsidR="00000000" w:rsidDel="00000000" w:rsidP="00000000" w:rsidRDefault="00000000" w:rsidRPr="00000000" w14:paraId="0000007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فيقول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المعاني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73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تناول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نزولها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المدنية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وعدد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آياتها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وأسمائها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7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يتناول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أبرز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الوجوه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الإعرابية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اللغوية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للمفردات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مستعينا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ومروياتهم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يكتفي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يناقشها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نقاشا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7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والشكر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الثناء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التحميد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والجزاء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والشكر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مخصوص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مكافأة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أولاك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معروفا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اثبت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وسبيل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يفيد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الفائدة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</w:t>
      </w:r>
    </w:p>
    <w:p w:rsidR="00000000" w:rsidDel="00000000" w:rsidP="00000000" w:rsidRDefault="00000000" w:rsidRPr="00000000" w14:paraId="0000007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والجواب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بالرفع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حمدت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يرفع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يخبر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ينصب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يخبر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8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بالمأثور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79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بآية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7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ff0000"/>
        </w:rPr>
      </w:pPr>
      <w:r w:rsidDel="00000000" w:rsidR="00000000" w:rsidRPr="00000000">
        <w:rPr>
          <w:rtl w:val="1"/>
        </w:rPr>
        <w:t xml:space="preserve">استدل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معارضة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توكيدا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ونستعين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فتعاد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توكيدا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ترجع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...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وعكس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ترجع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يح</w:t>
      </w:r>
      <w:r w:rsidDel="00000000" w:rsidR="00000000" w:rsidRPr="00000000">
        <w:rPr>
          <w:b w:val="1"/>
          <w:rtl w:val="1"/>
        </w:rPr>
        <w:t xml:space="preserve">ٍ       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بالحديث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7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استدلالات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الض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إدريس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المكي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اليهود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مغضوب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والنصارى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ضالون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فرأيت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وجهه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تبسم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فرحا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العقيلي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شقيق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وبعضهم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وبعضهم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بوادي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وسأله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المغضوب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فأشار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اليهود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الضالون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الضالون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النصارى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مستغن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الشواهد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لشهرته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ففي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يرويها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عكرمة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الأنصاري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حجة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فحدثت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هريرة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صدق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8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بأسانيد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الأحاديث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8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8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استشهاداته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الصحابة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منعتم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إتمامهما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الإحصار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</w:p>
    <w:p w:rsidR="00000000" w:rsidDel="00000000" w:rsidP="00000000" w:rsidRDefault="00000000" w:rsidRPr="00000000" w14:paraId="0000008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العدو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ذينك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نحر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طاووس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التابعين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8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التابعين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الأنصاري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شيئا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الحصور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النساء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8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محيصن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ويشهد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بفتح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النزول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8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استدلالات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بأسباب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النزول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</w:p>
    <w:p w:rsidR="00000000" w:rsidDel="00000000" w:rsidP="00000000" w:rsidRDefault="00000000" w:rsidRPr="00000000" w14:paraId="0000008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عازب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الأنصار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حجوا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فجاءوا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يدخلوا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أبوابها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ظهورها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الأنصار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بالقصص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الإسرائيليات</w:t>
      </w:r>
      <w:r w:rsidDel="00000000" w:rsidR="00000000" w:rsidRPr="00000000">
        <w:rPr>
          <w:b w:val="1"/>
          <w:rtl w:val="1"/>
        </w:rPr>
        <w:t xml:space="preserve"> )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8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بالإسرائيليات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8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بالرأي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المعزز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بالدليل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9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بالآراء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تخطئته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 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الفراء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...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وعز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 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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بقوله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فدل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بمنزلة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عذاب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القبر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91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7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المذاهب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النحوية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9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يصوب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ويخطئ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ويدلل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ويعلل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الأرجح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ولأخذه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9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سبحانه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يرتض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الفراء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أتينا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طائعين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والاحسن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بأفعال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الكسائي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فأجاز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بالواو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وبالياء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يعرج</w:t>
      </w:r>
      <w:r w:rsidDel="00000000" w:rsidR="00000000" w:rsidRPr="00000000">
        <w:rPr>
          <w:rtl w:val="1"/>
        </w:rPr>
        <w:t xml:space="preserve">         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94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8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أمثال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العرب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وأشعارهم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9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بأشعرها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بكثير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تضرب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تفرقوا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وأيادي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مذاهب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وطرقها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الطائفة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النهار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97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ضيء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الظ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نير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ً      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مان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ِّ 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ظام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بانصرافه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للقضايا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العقائدية</w:t>
      </w:r>
      <w:r w:rsidDel="00000000" w:rsidR="00000000" w:rsidRPr="00000000">
        <w:rPr>
          <w:rtl w:val="1"/>
        </w:rPr>
        <w:t xml:space="preserve"> 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99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</w:p>
    <w:p w:rsidR="00000000" w:rsidDel="00000000" w:rsidP="00000000" w:rsidRDefault="00000000" w:rsidRPr="00000000" w14:paraId="0000009C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ياقوتة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الصراط</w:t>
      </w:r>
    </w:p>
    <w:p w:rsidR="00000000" w:rsidDel="00000000" w:rsidP="00000000" w:rsidRDefault="00000000" w:rsidRPr="00000000" w14:paraId="0000009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يظن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مفقود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حققه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مؤخرا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الدكتور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يعقوب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التركستاني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وقيمته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متأتية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عبدالواحد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9E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بشرح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مفردات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منتقاة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يتوافق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tl w:val="1"/>
        </w:rPr>
        <w:t xml:space="preserve">ياقوتة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الصراط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يشرح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بكلمات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موجزة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معانيها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أسوة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بأصحاب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الوجوه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والنظائر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A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يتيقنون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ويظنون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يشكون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يستحيون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يستبقون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طائر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والسلوى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A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بالمأثور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A4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بآية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A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 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(2)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والهدى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والهدى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إخراج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والهدى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الورع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والطاعة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والهدى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الهادي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هاديا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الغيب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والغيب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محصلا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القلوب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والغيب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المطمئن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والغيب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شحم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A6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بالحديث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والأثر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A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طبيعة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المختصرة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واقتصاره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كانتا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وبالشعر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وبالقراءات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امتدادا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لموقف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احتجاجهم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العموم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A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لعائشة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تعوذي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الغاسق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الاختيار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والتابعين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اءهم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الأعرابي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سلام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نعرفه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أبناءنا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ونعرفه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أولادنا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المؤمنين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ليشك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صادق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مصدق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AA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A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ترجيح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تقطع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وصلكم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انقطع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بينكم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اضطرابا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ومعاشا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وتخفيفا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للأبدان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بالنوم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لعائشة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تسبخي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تخففي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النزول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A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مواضع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B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اطلعوا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استفهاما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هاهنا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الخمر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أشفي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الخمر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فنزلت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فنادى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انتهينا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ربنا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انتهينا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B1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بالرأي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المعزز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بالدليل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B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يستدل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أحيانا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تعزز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أبدلت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بالحلقة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نحيت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وجعلت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مكانه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وبدلت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بالحلقة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أذبته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جعلته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حلقة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وبدلت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الحلقة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بالخاتم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أذبتها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وجعلتها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خاتما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وحقيقة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بدلت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والجوهرة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بعينها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وأبدلت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نحيت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الجوهرة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وجعلت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مكانها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جوهرة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فعرضت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فاستحسنه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فاصلة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أعزك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بقي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أبدلت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أزال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ودا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فهذه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وتبديلها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غيرها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ناعمة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فاسودت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بالعذاب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فردت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جلودهم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نضجت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فالجوهرة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B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الروايات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B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أخبرنا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</w:t>
      </w:r>
      <w:r w:rsidDel="00000000" w:rsidR="00000000" w:rsidRPr="00000000">
        <w:rPr>
          <w:rtl w:val="1"/>
        </w:rPr>
        <w:t xml:space="preserve">            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المنذري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رحمة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إجازة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أخبرنا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طبرزذ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أنبأنا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إسماعيل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أخبرنا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أخبرنا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الصيدلاني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أخبرنا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الزاهد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أنبأنا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ثعلب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الأعرابي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B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المنذري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ثالث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رمضان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المعظم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شهور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( 784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B6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7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الأخرى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B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الشافعي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أنبأنا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ببغداد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أنبأنا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ثعلب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: ( </w:t>
      </w:r>
      <w:r w:rsidDel="00000000" w:rsidR="00000000" w:rsidRPr="00000000">
        <w:rPr>
          <w:rtl w:val="1"/>
        </w:rPr>
        <w:t xml:space="preserve">ياقوتة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الصراط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تجوروا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تعولوا</w:t>
      </w:r>
      <w:r w:rsidDel="00000000" w:rsidR="00000000" w:rsidRPr="00000000">
        <w:rPr>
          <w:rtl w:val="1"/>
        </w:rPr>
        <w:t xml:space="preserve"> ) : </w:t>
      </w:r>
      <w:r w:rsidDel="00000000" w:rsidR="00000000" w:rsidRPr="00000000">
        <w:rPr>
          <w:rtl w:val="1"/>
        </w:rPr>
        <w:t xml:space="preserve">تكثر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عيالكم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الياقوتة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تجوروا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B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لصغر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واقتصاره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الألفاظ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يتناول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والفقهية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والعقائدية</w:t>
      </w:r>
      <w:r w:rsidDel="00000000" w:rsidR="00000000" w:rsidRPr="00000000">
        <w:rPr>
          <w:rtl w:val="1"/>
        </w:rPr>
        <w:t xml:space="preserve"> ، 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وأشعارهم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B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</w:p>
    <w:p w:rsidR="00000000" w:rsidDel="00000000" w:rsidP="00000000" w:rsidRDefault="00000000" w:rsidRPr="00000000" w14:paraId="000000BF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بحر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</w:p>
    <w:p w:rsidR="00000000" w:rsidDel="00000000" w:rsidP="00000000" w:rsidRDefault="00000000" w:rsidRPr="00000000" w14:paraId="000000C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عرفه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حاجي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الفقيه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السمرقندي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الحنفي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المتوفى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( 375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‍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خمس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وسبعين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وثلاثمائة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مشهور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لطيف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مفيد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أحاديثه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قطلوبغا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الحنفي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المتوفى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( 879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‍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تسع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وتسعين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وثمانمائة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وترجمته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بالتركية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للشهاب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عربشاه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الحنفي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المتوفى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( 854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‍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وخمسين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وثمانمائة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C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صاحبه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بالدراية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الجانب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النقلي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الجانب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العقلي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بالمأثور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C2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C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لكتابه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واستشهد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بروايات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بإسناده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يجوز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يفسر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برأيه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وأحوال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التنزيل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واستدل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حرمة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بمجرد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بإسناده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.</w:t>
      </w:r>
    </w:p>
    <w:p w:rsidR="00000000" w:rsidDel="00000000" w:rsidP="00000000" w:rsidRDefault="00000000" w:rsidRPr="00000000" w14:paraId="000000C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أيدينا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متكامل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تناوله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واشتماله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العلاقة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والمسائل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النحوية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واللغوية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وأسباب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النزول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والناسخ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والمنسوخ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C5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بالمأثور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C6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بآية</w:t>
      </w:r>
      <w:r w:rsidDel="00000000" w:rsidR="00000000" w:rsidRPr="00000000">
        <w:rPr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السمرقندي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يوضح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C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الكافرين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أنظر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المحفوظ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التوحيد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يعطى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C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وثلاثون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موضعا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المواضع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المواضع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للتنبيه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الافتتاح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المواضع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يحتمل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الوجهين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C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(78)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يطلع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عهدا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ابتدأ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C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ِ (14)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يقتلونك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C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للتنبيه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الافتتاح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(2)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بالحديث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C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السمرقندي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مواضع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بالأحاديث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المرفوعة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بسنده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         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الاختلاف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باللسان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والعوام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بالقلب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«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منكرا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فليغيره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يستطع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فبلسانه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يستطع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فبقلبه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أضعف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الإيمان</w:t>
      </w:r>
      <w:r w:rsidDel="00000000" w:rsidR="00000000" w:rsidRPr="00000000">
        <w:rPr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C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الترمذي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الطحاوي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راحلته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تطوعا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توجهت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D0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D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السمرقندي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D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الواسطي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المسعودي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علقمة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مرثد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أرأيت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والخنازير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والخنازير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مسخت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يمسخ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وخنازير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D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التابعين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D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السمرقندي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الكفار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D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D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يش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يستر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عوراتكم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أنزلنا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المطر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القطن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والكتان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لباسا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وريشا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ورياشا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وريشا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D8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النزول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D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اليهود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والمشركون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يضرب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بالذباب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والعنكبوت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يمتنع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البعوضة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فوقها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يمنعه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الحياء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يضرب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DB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بالقصص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الإسرائيليات</w:t>
      </w:r>
      <w:r w:rsidDel="00000000" w:rsidR="00000000" w:rsidRPr="00000000">
        <w:rPr>
          <w:b w:val="1"/>
          <w:rtl w:val="1"/>
        </w:rPr>
        <w:t xml:space="preserve"> )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D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السمرقندي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يخلو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الإسرائيليات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اذ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يق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(56)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بإسناده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إدريس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إدريس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خياطا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ويصوم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النهار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يفتر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يكتسب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فيتصدق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بالثلثين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فأتاه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الملائكة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إسرافيل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فبشره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بالجنة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حاجة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وددت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فأزداد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شئت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حملتك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فحمله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فسأله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ففتح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ساعات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ساعات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أقبض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فقبض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DD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أمثال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العرب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وأشعارهم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D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السمرقندي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بأمثال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وأشعارهم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أمثال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فجمرة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حاجة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وفقرا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E0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قير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ناه</w:t>
      </w:r>
      <w:r w:rsidDel="00000000" w:rsidR="00000000" w:rsidRPr="00000000">
        <w:rPr>
          <w:rtl w:val="1"/>
        </w:rPr>
        <w:t xml:space="preserve">ُ      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ُّ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عيل</w:t>
      </w:r>
      <w:r w:rsidDel="00000000" w:rsidR="00000000" w:rsidRPr="00000000">
        <w:rPr>
          <w:rtl w:val="1"/>
        </w:rPr>
        <w:t xml:space="preserve">ُ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7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موقفه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الكلام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E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حفل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  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يخذلهم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يوفقهم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للهدى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يوفق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المؤمنون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يسميه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ضالا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فسقت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سميته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فاسقا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أقاويل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محتمل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ضالا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أضله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ضالا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يخذل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لكفرهم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E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8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الأحكام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الفقهية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E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اشتمل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"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المضطر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يشبع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وأصحابه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رحمهم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مقدار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الشافعي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E5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9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النحوية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E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السمرقندي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والإعرابية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فاتبعوه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تخالفوه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منصوب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التأكيد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ويجوز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منصوبا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ألزموا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427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Simplified Arabic"/>
  <w:font w:name="Calibri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125 .</w:t>
      </w:r>
    </w:p>
  </w:footnote>
  <w:footnote w:id="1"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140 .</w:t>
      </w:r>
    </w:p>
  </w:footnote>
  <w:footnote w:id="2"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153 .</w:t>
      </w:r>
    </w:p>
  </w:footnote>
  <w:footnote w:id="3"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168 .</w:t>
      </w:r>
    </w:p>
  </w:footnote>
  <w:footnote w:id="4"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186 .</w:t>
      </w:r>
    </w:p>
  </w:footnote>
  <w:footnote w:id="5"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2000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15 .</w:t>
      </w:r>
    </w:p>
  </w:footnote>
  <w:footnote w:id="6"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لشيخ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 .</w:t>
      </w:r>
    </w:p>
  </w:footnote>
  <w:footnote w:id="7"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27 .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50 .</w:t>
      </w:r>
    </w:p>
  </w:footnote>
  <w:footnote w:id="10"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200 .</w:t>
      </w:r>
    </w:p>
  </w:footnote>
  <w:footnote w:id="11"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10/3372 .</w:t>
      </w:r>
    </w:p>
  </w:footnote>
  <w:footnote w:id="12"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1/28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تخريجه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181 .</w:t>
      </w:r>
    </w:p>
  </w:footnote>
  <w:footnote w:id="13"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5 .</w:t>
      </w:r>
    </w:p>
  </w:footnote>
  <w:footnote w:id="14"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1/29 .</w:t>
      </w:r>
    </w:p>
  </w:footnote>
  <w:footnote w:id="15"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6 .</w:t>
      </w:r>
    </w:p>
  </w:footnote>
  <w:footnote w:id="16"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1/30. </w:t>
      </w:r>
    </w:p>
  </w:footnote>
  <w:footnote w:id="17"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143 .</w:t>
      </w:r>
    </w:p>
  </w:footnote>
  <w:footnote w:id="18"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1/250. </w:t>
      </w:r>
    </w:p>
  </w:footnote>
  <w:footnote w:id="19"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62 .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1/126 .</w:t>
      </w:r>
    </w:p>
  </w:footnote>
  <w:footnote w:id="20"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164 .</w:t>
      </w:r>
    </w:p>
  </w:footnote>
  <w:footnote w:id="21"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1/274 .</w:t>
      </w:r>
    </w:p>
  </w:footnote>
  <w:footnote w:id="22"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1/14. </w:t>
      </w:r>
    </w:p>
  </w:footnote>
  <w:footnote w:id="23"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15 .</w:t>
      </w:r>
    </w:p>
  </w:footnote>
  <w:footnote w:id="24"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بمروياته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( 1052 )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 ، 23 ، 24 ، 25 ، 28 ، 31 ، 37 . </w:t>
      </w:r>
    </w:p>
  </w:footnote>
  <w:footnote w:id="25"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بمروياته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( 127 )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307 ، 235 ، 246 ، 248 ، 256 . </w:t>
      </w:r>
    </w:p>
  </w:footnote>
  <w:footnote w:id="26"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بمروياته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( 2297 )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19 ، 23 ، 24 ، 30 ، 34 ، 38 . </w:t>
      </w:r>
    </w:p>
  </w:footnote>
  <w:footnote w:id="27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بمروياته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( 138 )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1/42 ، 46 ، 47 ، 51 ، 52. </w:t>
      </w:r>
    </w:p>
  </w:footnote>
  <w:footnote w:id="28"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بمروياته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( 130 )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 ، 24 ، 25 ، 26 ، 28 ، 31 ، 32 .</w:t>
      </w:r>
    </w:p>
  </w:footnote>
  <w:footnote w:id="29"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بمروياته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( 630 )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1/18 ، 20 ، 23 ، 33 ، 34 ، 38 ، 41 .</w:t>
      </w:r>
    </w:p>
  </w:footnote>
  <w:footnote w:id="30"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بمروياته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( 400 )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3/8 ، 41 ، 45 ، 52 ، 143 ، 148 ، 159 . </w:t>
      </w:r>
    </w:p>
  </w:footnote>
  <w:footnote w:id="31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 .</w:t>
      </w:r>
    </w:p>
  </w:footnote>
  <w:footnote w:id="32"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343 .</w:t>
      </w:r>
    </w:p>
  </w:footnote>
  <w:footnote w:id="33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34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1/57 .</w:t>
      </w:r>
    </w:p>
  </w:footnote>
  <w:footnote w:id="35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5 .</w:t>
      </w:r>
    </w:p>
  </w:footnote>
  <w:footnote w:id="36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21 .</w:t>
      </w:r>
    </w:p>
  </w:footnote>
  <w:footnote w:id="37"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22 . </w:t>
      </w:r>
    </w:p>
  </w:footnote>
  <w:footnote w:id="38"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1/65 .</w:t>
      </w:r>
    </w:p>
  </w:footnote>
  <w:footnote w:id="39"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 </w:t>
      </w:r>
    </w:p>
  </w:footnote>
  <w:footnote w:id="40"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5/53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( 2953 )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41"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الهيثمي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ورجاله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6/310. </w:t>
      </w:r>
    </w:p>
  </w:footnote>
  <w:footnote w:id="42"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1/69 .</w:t>
      </w:r>
    </w:p>
  </w:footnote>
  <w:footnote w:id="43"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1/117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النسائي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:2/ 381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432 .</w:t>
      </w:r>
    </w:p>
  </w:footnote>
  <w:footnote w:id="44"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196 .</w:t>
      </w:r>
    </w:p>
  </w:footnote>
  <w:footnote w:id="45"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1/116 .</w:t>
      </w:r>
    </w:p>
  </w:footnote>
  <w:footnote w:id="46"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39 .</w:t>
      </w:r>
    </w:p>
  </w:footnote>
  <w:footnote w:id="47"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1/393 .</w:t>
      </w:r>
    </w:p>
  </w:footnote>
  <w:footnote w:id="48"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204 .</w:t>
      </w:r>
    </w:p>
  </w:footnote>
  <w:footnote w:id="49"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1/148 .</w:t>
      </w:r>
    </w:p>
  </w:footnote>
  <w:footnote w:id="50"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198 .</w:t>
      </w:r>
    </w:p>
  </w:footnote>
  <w:footnote w:id="51"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1/105 .</w:t>
      </w:r>
    </w:p>
  </w:footnote>
  <w:footnote w:id="52"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46 .</w:t>
      </w:r>
    </w:p>
  </w:footnote>
  <w:footnote w:id="53"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46 .</w:t>
      </w:r>
    </w:p>
  </w:footnote>
  <w:footnote w:id="54"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6/229 .</w:t>
      </w:r>
    </w:p>
  </w:footnote>
  <w:footnote w:id="55"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11 .</w:t>
      </w:r>
    </w:p>
  </w:footnote>
  <w:footnote w:id="56"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57"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6/229 .</w:t>
      </w:r>
    </w:p>
  </w:footnote>
  <w:footnote w:id="58"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19 .</w:t>
      </w:r>
    </w:p>
  </w:footnote>
  <w:footnote w:id="59"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5/412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1/275 .</w:t>
      </w:r>
    </w:p>
  </w:footnote>
  <w:footnote w:id="60"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72 .</w:t>
      </w:r>
    </w:p>
  </w:footnote>
  <w:footnote w:id="61"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1/420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الكلابي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69 .</w:t>
      </w:r>
    </w:p>
  </w:footnote>
  <w:footnote w:id="62"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46. </w:t>
      </w:r>
    </w:p>
  </w:footnote>
  <w:footnote w:id="63"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.</w:t>
      </w:r>
    </w:p>
  </w:footnote>
  <w:footnote w:id="64"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57 .</w:t>
      </w:r>
    </w:p>
  </w:footnote>
  <w:footnote w:id="65"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.</w:t>
      </w:r>
    </w:p>
  </w:footnote>
  <w:footnote w:id="66"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67"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10. </w:t>
      </w:r>
    </w:p>
  </w:footnote>
  <w:footnote w:id="68"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.</w:t>
      </w:r>
    </w:p>
  </w:footnote>
  <w:footnote w:id="69"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 </w:t>
      </w:r>
    </w:p>
  </w:footnote>
  <w:footnote w:id="70"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الصحيحين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2/589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يخرجاه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71"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44 .</w:t>
      </w:r>
    </w:p>
  </w:footnote>
  <w:footnote w:id="72"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20 .</w:t>
      </w:r>
    </w:p>
  </w:footnote>
  <w:footnote w:id="73"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 .</w:t>
      </w:r>
    </w:p>
  </w:footnote>
  <w:footnote w:id="74"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94 .</w:t>
      </w:r>
    </w:p>
  </w:footnote>
  <w:footnote w:id="75"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وحفص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1/345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263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2/260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وإتحاف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213. </w:t>
      </w:r>
      <w:r w:rsidDel="00000000" w:rsidR="00000000" w:rsidRPr="00000000">
        <w:rPr>
          <w:rtl w:val="0"/>
        </w:rPr>
      </w:r>
    </w:p>
  </w:footnote>
  <w:footnote w:id="76"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 . </w:t>
      </w:r>
    </w:p>
  </w:footnote>
  <w:footnote w:id="77"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المزمل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</w:t>
      </w:r>
    </w:p>
  </w:footnote>
  <w:footnote w:id="78"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يعمر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639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8/ 363 .</w:t>
      </w:r>
      <w:r w:rsidDel="00000000" w:rsidR="00000000" w:rsidRPr="00000000">
        <w:rPr>
          <w:rtl w:val="0"/>
        </w:rPr>
      </w:r>
    </w:p>
  </w:footnote>
  <w:footnote w:id="79"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6/215 .</w:t>
      </w:r>
      <w:r w:rsidDel="00000000" w:rsidR="00000000" w:rsidRPr="00000000">
        <w:rPr>
          <w:rtl w:val="0"/>
        </w:rPr>
      </w:r>
    </w:p>
  </w:footnote>
  <w:footnote w:id="80"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40. </w:t>
      </w:r>
    </w:p>
  </w:footnote>
  <w:footnote w:id="81"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54 .</w:t>
      </w:r>
    </w:p>
  </w:footnote>
  <w:footnote w:id="82"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91 .</w:t>
      </w:r>
    </w:p>
  </w:footnote>
  <w:footnote w:id="83"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33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الصحيحين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2/305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يخرجاه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</w:p>
  </w:footnote>
  <w:footnote w:id="84"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15 . </w:t>
      </w:r>
    </w:p>
  </w:footnote>
  <w:footnote w:id="85"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70 .</w:t>
      </w:r>
    </w:p>
  </w:footnote>
  <w:footnote w:id="86"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56 .</w:t>
      </w:r>
    </w:p>
  </w:footnote>
  <w:footnote w:id="87"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13 .</w:t>
      </w:r>
    </w:p>
  </w:footnote>
  <w:footnote w:id="88"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89"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44 .</w:t>
      </w:r>
    </w:p>
  </w:footnote>
  <w:footnote w:id="90"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91"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عبدالخالق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177 .</w:t>
      </w:r>
    </w:p>
  </w:footnote>
  <w:footnote w:id="92"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 .</w:t>
      </w:r>
    </w:p>
  </w:footnote>
  <w:footnote w:id="93"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1/441 .</w:t>
      </w:r>
    </w:p>
  </w:footnote>
  <w:footnote w:id="94"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1/224 .</w:t>
      </w:r>
    </w:p>
  </w:footnote>
  <w:footnote w:id="95"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78 .</w:t>
      </w:r>
    </w:p>
  </w:footnote>
  <w:footnote w:id="96"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79 .</w:t>
      </w:r>
    </w:p>
  </w:footnote>
  <w:footnote w:id="97"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79 .</w:t>
      </w:r>
    </w:p>
  </w:footnote>
  <w:footnote w:id="98"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14 .</w:t>
      </w:r>
    </w:p>
  </w:footnote>
  <w:footnote w:id="99"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التكاثر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2/386 .</w:t>
      </w:r>
    </w:p>
  </w:footnote>
  <w:footnote w:id="100"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44 .</w:t>
      </w:r>
    </w:p>
  </w:footnote>
  <w:footnote w:id="101"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104 .</w:t>
      </w:r>
    </w:p>
  </w:footnote>
  <w:footnote w:id="102"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2/386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( 49 ) .</w:t>
      </w:r>
    </w:p>
  </w:footnote>
  <w:footnote w:id="103"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115 .</w:t>
      </w:r>
    </w:p>
  </w:footnote>
  <w:footnote w:id="104"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1/113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خزيمة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2/252 .</w:t>
      </w:r>
    </w:p>
  </w:footnote>
  <w:footnote w:id="105"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65 .</w:t>
      </w:r>
    </w:p>
  </w:footnote>
  <w:footnote w:id="106"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1/88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1/390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4/198 .</w:t>
      </w:r>
    </w:p>
  </w:footnote>
  <w:footnote w:id="107"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217 .</w:t>
      </w:r>
    </w:p>
  </w:footnote>
  <w:footnote w:id="108"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1/170. </w:t>
      </w:r>
    </w:p>
  </w:footnote>
  <w:footnote w:id="109"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26 .</w:t>
      </w:r>
    </w:p>
  </w:footnote>
  <w:footnote w:id="110"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1/170.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إتحاف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295 .</w:t>
      </w:r>
    </w:p>
  </w:footnote>
  <w:footnote w:id="111"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26 .</w:t>
      </w:r>
    </w:p>
  </w:footnote>
  <w:footnote w:id="112"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73 .</w:t>
      </w:r>
    </w:p>
  </w:footnote>
  <w:footnote w:id="113"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41 .</w:t>
      </w:r>
    </w:p>
  </w:footnote>
  <w:footnote w:id="114"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1/62 .</w:t>
      </w:r>
    </w:p>
  </w:footnote>
  <w:footnote w:id="115"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57 .</w:t>
      </w:r>
    </w:p>
  </w:footnote>
  <w:footnote w:id="116"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2/378 .</w:t>
      </w:r>
    </w:p>
  </w:footnote>
  <w:footnote w:id="117"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2/22 . </w:t>
      </w:r>
    </w:p>
  </w:footnote>
  <w:footnote w:id="118"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الزخرف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3/245 .</w:t>
      </w:r>
    </w:p>
  </w:footnote>
  <w:footnote w:id="119"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28 .</w:t>
      </w:r>
    </w:p>
  </w:footnote>
  <w:footnote w:id="120"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أشعار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المتقدمين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والجاهليين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والمخضرمين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390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الخالدي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اشتهرا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بالخالديين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21 .</w:t>
      </w:r>
    </w:p>
  </w:footnote>
  <w:footnote w:id="121"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26 .</w:t>
      </w:r>
    </w:p>
  </w:footnote>
  <w:footnote w:id="122"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1/63 .</w:t>
      </w:r>
    </w:p>
  </w:footnote>
  <w:footnote w:id="123"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124"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1/394 .</w:t>
      </w:r>
    </w:p>
  </w:footnote>
  <w:footnote w:id="125"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24 .</w:t>
      </w:r>
    </w:p>
  </w:footnote>
  <w:footnote w:id="126"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23 .</w:t>
      </w:r>
    </w:p>
  </w:footnote>
  <w:footnote w:id="127"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1/319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