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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ثلاثة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مباحث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وأثره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</w:p>
    <w:p w:rsidR="00000000" w:rsidDel="00000000" w:rsidP="00000000" w:rsidRDefault="00000000" w:rsidRPr="00000000" w14:paraId="00000009">
      <w:pPr>
        <w:pStyle w:val="Heading2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التفاسير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النشاط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الفكري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العام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6">
      <w:pPr>
        <w:pStyle w:val="Heading3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وأثره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أولا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النشاط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الفكري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العام</w:t>
      </w:r>
      <w:r w:rsidDel="00000000" w:rsidR="00000000" w:rsidRPr="00000000">
        <w:rPr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أثرت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الخصوص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عوامل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ازدهار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وتطورها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المتعذر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إحصاء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العوامل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مبحث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لسعتها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وتنوعها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ينهض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الدراسات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المتخصصة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سأشير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العوامل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تطور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الهجري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ومنطق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ورياضيات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ونحوها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بدأت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منظمة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لأنها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عبرت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المسائل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الجزئية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أزمنة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بعيدة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أممها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كاليونان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والهند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والفرس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وصلت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مرحلة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التنظيم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والتبويب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نقلت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العصر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العباسي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نقلت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بهيئتها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الكاملة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تحتج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بالمراحل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جديد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ولما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قطرا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غنيا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ثروة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واسعة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العيش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ميسورا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rtl w:val="1"/>
        </w:rPr>
        <w:t xml:space="preserve">والحياة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جوانبه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لسكانه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استقرارا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ويوفر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ينفقونه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وتدوينها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الأسباب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المهمة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تطور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الحياة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وبلوغها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غايتها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حينذاك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استخدامه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الورق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صناعته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مظهرا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مظاهر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الحضارة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العصر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العباسي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أنشأ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الرشيد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مصنعا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للورق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ببغداد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فيسرت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وتداولها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وسهلت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فشت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لخفته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اتسعت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لتنافس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واقتناء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الرشيد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ضخمة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وسمتها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وعنيت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بتزويدها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المترجمة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الأجنبية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اتساع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والفقهاء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تفريع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المتصور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تضخيم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اكتنف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والمشافهة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السلبيات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شخصيا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يستعمله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المدو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شتى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محدودا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راشد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عروبة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 </w:t>
      </w:r>
      <w:r w:rsidDel="00000000" w:rsidR="00000000" w:rsidRPr="00000000">
        <w:rPr>
          <w:rtl w:val="1"/>
        </w:rPr>
        <w:t xml:space="preserve">وحماد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168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عوانة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175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160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زائدة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الثوري</w:t>
      </w:r>
      <w:r w:rsidDel="00000000" w:rsidR="00000000" w:rsidRPr="00000000">
        <w:rPr>
          <w:rtl w:val="1"/>
        </w:rPr>
        <w:t xml:space="preserve">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161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التدوين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والآثار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وفنونها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ووقائع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وترجمة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بأنواعها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كالرياضيات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والفلسفة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بأقسامها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والتصوف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ودرسوا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واجتهدوا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ونقحوا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وأتموا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ناقص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العمران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الاجتماع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يختص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طوائف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للتوسع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والنبوغ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النابغين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يعارض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وموضوعه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وفائدته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المباحث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ازدهار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وانتقال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ثانيا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وإبداعيا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شتى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إبداعها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ونشرها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العدد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والمراد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إحصاء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وحروفه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وسوره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5">
      <w:pPr>
        <w:widowControl w:val="0"/>
        <w:bidi w:val="1"/>
        <w:contextualSpacing w:val="0"/>
        <w:rPr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1"/>
        </w:rPr>
        <w:t xml:space="preserve">في</w:t>
      </w:r>
      <w:r w:rsidDel="00000000" w:rsidR="00000000" w:rsidRPr="00000000">
        <w:rPr>
          <w:b w:val="1"/>
          <w:sz w:val="29"/>
          <w:szCs w:val="29"/>
          <w:rtl w:val="1"/>
        </w:rPr>
        <w:t xml:space="preserve"> </w:t>
      </w:r>
      <w:r w:rsidDel="00000000" w:rsidR="00000000" w:rsidRPr="00000000">
        <w:rPr>
          <w:b w:val="1"/>
          <w:sz w:val="29"/>
          <w:szCs w:val="29"/>
          <w:rtl w:val="1"/>
        </w:rPr>
        <w:t xml:space="preserve">الكوفة</w:t>
      </w:r>
      <w:r w:rsidDel="00000000" w:rsidR="00000000" w:rsidRPr="00000000">
        <w:rPr>
          <w:sz w:val="29"/>
          <w:szCs w:val="29"/>
          <w:rtl w:val="0"/>
        </w:rPr>
        <w:t xml:space="preserve"> :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1"/>
        </w:rPr>
        <w:t xml:space="preserve">كتاب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العدد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لخلف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بن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هشام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البزار</w:t>
      </w:r>
      <w:r w:rsidDel="00000000" w:rsidR="00000000" w:rsidRPr="00000000">
        <w:rPr>
          <w:sz w:val="29"/>
          <w:szCs w:val="29"/>
          <w:rtl w:val="1"/>
        </w:rPr>
        <w:t xml:space="preserve"> ( </w:t>
      </w:r>
      <w:r w:rsidDel="00000000" w:rsidR="00000000" w:rsidRPr="00000000">
        <w:rPr>
          <w:sz w:val="29"/>
          <w:szCs w:val="29"/>
          <w:rtl w:val="1"/>
        </w:rPr>
        <w:t xml:space="preserve">ت</w:t>
      </w:r>
      <w:r w:rsidDel="00000000" w:rsidR="00000000" w:rsidRPr="00000000">
        <w:rPr>
          <w:sz w:val="29"/>
          <w:szCs w:val="29"/>
          <w:rtl w:val="1"/>
        </w:rPr>
        <w:t xml:space="preserve"> 129 </w:t>
      </w:r>
      <w:r w:rsidDel="00000000" w:rsidR="00000000" w:rsidRPr="00000000">
        <w:rPr>
          <w:sz w:val="29"/>
          <w:szCs w:val="29"/>
          <w:rtl w:val="1"/>
        </w:rPr>
        <w:t xml:space="preserve">هـ</w:t>
      </w:r>
      <w:r w:rsidDel="00000000" w:rsidR="00000000" w:rsidRPr="00000000">
        <w:rPr>
          <w:sz w:val="29"/>
          <w:szCs w:val="29"/>
          <w:rtl w:val="1"/>
        </w:rPr>
        <w:t xml:space="preserve"> )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الزيات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</w:t>
      </w:r>
    </w:p>
    <w:p w:rsidR="00000000" w:rsidDel="00000000" w:rsidP="00000000" w:rsidRDefault="00000000" w:rsidRPr="00000000" w14:paraId="00000029">
      <w:pPr>
        <w:widowControl w:val="0"/>
        <w:bidi w:val="1"/>
        <w:contextualSpacing w:val="0"/>
        <w:rPr/>
      </w:pP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البصرة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1"/>
        </w:rPr>
        <w:t xml:space="preserve">كتاب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العدد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للحسن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بن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أبي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الحسن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البصري</w:t>
      </w:r>
      <w:r w:rsidDel="00000000" w:rsidR="00000000" w:rsidRPr="00000000">
        <w:rPr>
          <w:sz w:val="29"/>
          <w:szCs w:val="29"/>
          <w:rtl w:val="1"/>
        </w:rPr>
        <w:t xml:space="preserve"> ( </w:t>
      </w:r>
      <w:r w:rsidDel="00000000" w:rsidR="00000000" w:rsidRPr="00000000">
        <w:rPr>
          <w:sz w:val="29"/>
          <w:szCs w:val="29"/>
          <w:rtl w:val="1"/>
        </w:rPr>
        <w:t xml:space="preserve">ت</w:t>
      </w:r>
      <w:r w:rsidDel="00000000" w:rsidR="00000000" w:rsidRPr="00000000">
        <w:rPr>
          <w:sz w:val="29"/>
          <w:szCs w:val="29"/>
          <w:rtl w:val="1"/>
        </w:rPr>
        <w:t xml:space="preserve"> 110 </w:t>
      </w:r>
      <w:r w:rsidDel="00000000" w:rsidR="00000000" w:rsidRPr="00000000">
        <w:rPr>
          <w:sz w:val="29"/>
          <w:szCs w:val="29"/>
          <w:rtl w:val="1"/>
        </w:rPr>
        <w:t xml:space="preserve">هـ</w:t>
      </w:r>
      <w:r w:rsidDel="00000000" w:rsidR="00000000" w:rsidRPr="00000000">
        <w:rPr>
          <w:sz w:val="29"/>
          <w:szCs w:val="29"/>
          <w:rtl w:val="1"/>
        </w:rPr>
        <w:t xml:space="preserve"> ) ، </w:t>
      </w:r>
      <w:r w:rsidDel="00000000" w:rsidR="00000000" w:rsidRPr="00000000">
        <w:rPr>
          <w:sz w:val="29"/>
          <w:szCs w:val="29"/>
          <w:rtl w:val="1"/>
        </w:rPr>
        <w:t xml:space="preserve">وكتاب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العدد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لعاصم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بن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الحجاج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الجحدري</w:t>
      </w:r>
      <w:r w:rsidDel="00000000" w:rsidR="00000000" w:rsidRPr="00000000">
        <w:rPr>
          <w:sz w:val="29"/>
          <w:szCs w:val="29"/>
          <w:rtl w:val="1"/>
        </w:rPr>
        <w:t xml:space="preserve"> ( </w:t>
      </w:r>
      <w:r w:rsidDel="00000000" w:rsidR="00000000" w:rsidRPr="00000000">
        <w:rPr>
          <w:sz w:val="29"/>
          <w:szCs w:val="29"/>
          <w:rtl w:val="1"/>
        </w:rPr>
        <w:t xml:space="preserve">ت</w:t>
      </w:r>
      <w:r w:rsidDel="00000000" w:rsidR="00000000" w:rsidRPr="00000000">
        <w:rPr>
          <w:sz w:val="29"/>
          <w:szCs w:val="29"/>
          <w:rtl w:val="1"/>
        </w:rPr>
        <w:t xml:space="preserve"> 128 </w:t>
      </w:r>
      <w:r w:rsidDel="00000000" w:rsidR="00000000" w:rsidRPr="00000000">
        <w:rPr>
          <w:sz w:val="29"/>
          <w:szCs w:val="29"/>
          <w:rtl w:val="1"/>
        </w:rPr>
        <w:t xml:space="preserve">هـ</w:t>
      </w:r>
      <w:r w:rsidDel="00000000" w:rsidR="00000000" w:rsidRPr="00000000">
        <w:rPr>
          <w:sz w:val="29"/>
          <w:szCs w:val="29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9"/>
          <w:szCs w:val="29"/>
          <w:rtl w:val="0"/>
        </w:rPr>
        <w:t xml:space="preserve"> .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9"/>
          <w:szCs w:val="29"/>
          <w:rtl w:val="1"/>
        </w:rPr>
        <w:t xml:space="preserve">وهذه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المؤلفات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تعد</w:t>
      </w:r>
      <w:r w:rsidDel="00000000" w:rsidR="00000000" w:rsidRPr="00000000">
        <w:rPr>
          <w:sz w:val="29"/>
          <w:szCs w:val="29"/>
          <w:rtl w:val="1"/>
        </w:rPr>
        <w:t xml:space="preserve">ّ </w:t>
      </w:r>
      <w:r w:rsidDel="00000000" w:rsidR="00000000" w:rsidRPr="00000000">
        <w:rPr>
          <w:sz w:val="29"/>
          <w:szCs w:val="29"/>
          <w:rtl w:val="1"/>
        </w:rPr>
        <w:t xml:space="preserve">الأساس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الذي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بنى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عليه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المؤلفون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في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علم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العدد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فيما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بعد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في</w:t>
      </w:r>
      <w:r w:rsidDel="00000000" w:rsidR="00000000" w:rsidRPr="00000000">
        <w:rPr>
          <w:sz w:val="29"/>
          <w:szCs w:val="29"/>
          <w:rtl w:val="1"/>
        </w:rPr>
        <w:t xml:space="preserve"> </w:t>
      </w:r>
      <w:r w:rsidDel="00000000" w:rsidR="00000000" w:rsidRPr="00000000">
        <w:rPr>
          <w:sz w:val="29"/>
          <w:szCs w:val="29"/>
          <w:rtl w:val="1"/>
        </w:rPr>
        <w:t xml:space="preserve">العراق</w:t>
      </w:r>
      <w:r w:rsidDel="00000000" w:rsidR="00000000" w:rsidRPr="00000000">
        <w:rPr>
          <w:sz w:val="29"/>
          <w:szCs w:val="29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الفراهيدي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175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خطوة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وأعطته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أعطى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الفتحة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والكسرة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رموزا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للشدة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وللهمزة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بالغا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النطق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عراقيون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أفذاذ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" </w:t>
      </w:r>
      <w:r w:rsidDel="00000000" w:rsidR="00000000" w:rsidRPr="00000000">
        <w:rPr>
          <w:rtl w:val="1"/>
        </w:rPr>
        <w:t xml:space="preserve">والن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لأهل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ينقطون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فتركوه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ونقطوا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وعلق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 ...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الأندلسيين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ونقطوا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مصاحفهم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والش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 :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الفراهيدي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والمقرئين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وسلكوا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بعوا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ـته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واقتدو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بمذهبه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تنقيط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خطوات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الدؤلي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الإعجام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إزالة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والغين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والضمة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واستعاض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تمييزها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هجاء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التنزيل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مقطوع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وموصوله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مصاحف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لكنها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مطلقا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118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الواقفي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العمري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بالموصل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الغفار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الأنصاري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للكسائي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الآثار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التجويد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التجويد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وشعبة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عياش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النهشلي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193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" . </w:t>
      </w:r>
      <w:r w:rsidDel="00000000" w:rsidR="00000000" w:rsidRPr="00000000">
        <w:rPr>
          <w:rtl w:val="1"/>
        </w:rPr>
        <w:t xml:space="preserve">ورواية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المأخوذ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عدا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أقطار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1">
      <w:pPr>
        <w:widowControl w:val="0"/>
        <w:bidi w:val="1"/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والابتداء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صرد</w:t>
      </w:r>
      <w:r w:rsidDel="00000000" w:rsidR="00000000" w:rsidRPr="00000000">
        <w:rPr>
          <w:rtl w:val="1"/>
        </w:rPr>
        <w:t xml:space="preserve"> ،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129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وتبعه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الزيات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التمام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لنافع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169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الكـوفي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الـرؤاسي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187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الرؤاسي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والفراء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rtl w:val="1"/>
        </w:rPr>
        <w:t xml:space="preserve"> :           "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متشابه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ميادين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الشائكة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تحاشاه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الباحثين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البعيد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فذهبوا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أهواءهم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دقيقا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وموضوعيا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المنهجي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عراقيون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لمقاتل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البلخي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لحمزة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والفكرية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والإبداع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A">
      <w:pPr>
        <w:widowControl w:val="0"/>
        <w:bidi w:val="1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تقييد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الأمثلة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المازني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تقييد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الأمثلة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الخزانة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الرباط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المغرب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- 1371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ورقة</w:t>
      </w:r>
      <w:r w:rsidDel="00000000" w:rsidR="00000000" w:rsidRPr="00000000">
        <w:rPr>
          <w:rtl w:val="1"/>
        </w:rPr>
        <w:t xml:space="preserve"> 208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 – 223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الخزانة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الصبيحية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 9/254 </w:t>
      </w:r>
      <w:r w:rsidDel="00000000" w:rsidR="00000000" w:rsidRPr="00000000">
        <w:rPr>
          <w:rtl w:val="1"/>
        </w:rPr>
        <w:t xml:space="preserve">تقع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(17) </w:t>
      </w:r>
      <w:r w:rsidDel="00000000" w:rsidR="00000000" w:rsidRPr="00000000">
        <w:rPr>
          <w:rtl w:val="1"/>
        </w:rPr>
        <w:t xml:space="preserve">صفحة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مغربي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مدموج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ملون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10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2/15 .</w:t>
      </w:r>
    </w:p>
  </w:footnote>
  <w:footnote w:id="1"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 / 15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العباسي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103 .</w:t>
      </w:r>
    </w:p>
  </w:footnote>
  <w:footnote w:id="2"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1983 : 58.  </w:t>
      </w:r>
    </w:p>
  </w:footnote>
  <w:footnote w:id="3"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60. </w:t>
      </w:r>
    </w:p>
  </w:footnote>
  <w:footnote w:id="4"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2 .</w:t>
      </w:r>
    </w:p>
  </w:footnote>
  <w:footnote w:id="5"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62 .</w:t>
      </w:r>
    </w:p>
  </w:footnote>
  <w:footnote w:id="6"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الفيروزآبادي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1/324 .</w:t>
      </w:r>
    </w:p>
  </w:footnote>
  <w:footnote w:id="7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: 56 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المبتدأ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والعجم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عاصرهم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الأكبر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 120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القنوجي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5 .</w:t>
      </w:r>
    </w:p>
  </w:footnote>
  <w:footnote w:id="9"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7 .</w:t>
      </w:r>
    </w:p>
  </w:footnote>
  <w:footnote w:id="10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 .</w:t>
      </w:r>
    </w:p>
  </w:footnote>
  <w:footnote w:id="11"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9 .</w:t>
      </w:r>
    </w:p>
  </w:footnote>
  <w:footnote w:id="12"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 120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77 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1/29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1/127 .</w:t>
      </w:r>
    </w:p>
  </w:footnote>
  <w:footnote w:id="15"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غزاوي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5/ 4 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403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2/1148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1449  </w:t>
      </w:r>
    </w:p>
  </w:footnote>
  <w:footnote w:id="17"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1/317 . </w:t>
      </w:r>
    </w:p>
  </w:footnote>
  <w:footnote w:id="18"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1/112 ، 139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1/183 .</w:t>
      </w:r>
    </w:p>
  </w:footnote>
  <w:footnote w:id="19"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39 .</w:t>
      </w:r>
    </w:p>
  </w:footnote>
  <w:footnote w:id="20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1470،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للزركلي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271 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71 .</w:t>
      </w:r>
    </w:p>
  </w:footnote>
  <w:footnote w:id="22"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2/748 .</w:t>
      </w:r>
    </w:p>
  </w:footnote>
  <w:footnote w:id="23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2/748 .</w:t>
      </w:r>
    </w:p>
  </w:footnote>
  <w:footnote w:id="24"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لبحوث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 7.</w:t>
      </w:r>
    </w:p>
  </w:footnote>
  <w:footnote w:id="25"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الخزانة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الصبيحية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بسلا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حجي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المخطوطات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 ، 1406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44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widowControl w:val="0"/>
      <w:spacing w:before="12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spacing w:before="120" w:lineRule="auto"/>
      <w:jc w:val="center"/>
    </w:pPr>
    <w:rPr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