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ان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أبرز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المفسرين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العراقيين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الثاني</w:t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واتجاهاتهم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بالمعاملات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يقترن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بالاتجاهات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اتجاها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مأثورا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والمتمثل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اتجاهات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( 145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اتجاهات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والبحر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الزخار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الأمصار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الاجتهادي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والاتجاه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كوفيون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وبصريون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وموصليون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وغلبت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نمطين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والثاني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ومتسع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يستشهدون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والمحدثين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والرواة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واللغويين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والنحاة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مسلم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i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وطارق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والأعمش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( 120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بالإرجاء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الستة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الخشوع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الخشوع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جوم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يهتدى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والقنوجي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المنسوبة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النخعي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بالخلف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سيخلف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،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يمتنعون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يأكلوا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والأعرج</w:t>
      </w:r>
      <w:r w:rsidDel="00000000" w:rsidR="00000000" w:rsidRPr="00000000">
        <w:rPr>
          <w:rtl w:val="1"/>
        </w:rPr>
        <w:t xml:space="preserve"> ;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سألت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الحنفية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:           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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نصيب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والآخرة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الحنفية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فغنموا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فنزلت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ٌ (24)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bidi w:val="1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ٍّ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( 79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(98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الزيدية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إقامته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واقتبس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الاعتزال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وأشخص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وحبسه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خمسة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يحرضونه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ورجعوا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                ( 120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فبايعه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يومئذ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            ( 122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الزرلكي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ميلانو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مؤخرا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مجموع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ومثله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التثبت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بمرويات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وقراءاته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مناسبات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أصبح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بالمزدلفة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فوقف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قزح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وأردف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مزدلفة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يز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يجتمعا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ونحن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يومئذ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لصاحبه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أرجى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أرجى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الآلات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كالدرع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والمغفر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والساعد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والساقين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غالبين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بالحجة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والبرهان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السدي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المفسر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إسماعيل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الرحمن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كريمة</w:t>
      </w:r>
      <w:r w:rsidDel="00000000" w:rsidR="00000000" w:rsidRPr="00000000">
        <w:rPr>
          <w:sz w:val="24"/>
          <w:szCs w:val="24"/>
          <w:rtl w:val="1"/>
        </w:rPr>
        <w:t xml:space="preserve"> (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ذؤيب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الحجازي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الاعور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مخرمة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الكبير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ولقب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بالسدي</w:t>
      </w:r>
      <w:r w:rsidDel="00000000" w:rsidR="00000000" w:rsidRPr="00000000">
        <w:rPr>
          <w:sz w:val="24"/>
          <w:szCs w:val="24"/>
          <w:rtl w:val="1"/>
        </w:rPr>
        <w:t xml:space="preserve"> ؛ </w:t>
      </w:r>
      <w:r w:rsidDel="00000000" w:rsidR="00000000" w:rsidRPr="00000000">
        <w:rPr>
          <w:sz w:val="24"/>
          <w:szCs w:val="24"/>
          <w:rtl w:val="1"/>
        </w:rPr>
        <w:t xml:space="preserve">لأنه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الجامع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المقانع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[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مقنعة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أغطية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الرأس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] ، </w:t>
      </w:r>
      <w:r w:rsidDel="00000000" w:rsidR="00000000" w:rsidRPr="00000000">
        <w:rPr>
          <w:sz w:val="24"/>
          <w:szCs w:val="24"/>
          <w:rtl w:val="1"/>
        </w:rPr>
        <w:t xml:space="preserve">خرج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حديثه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وأصحاب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ورأى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وآخرون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( 127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تغري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والمغازي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عارفا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بالوقائع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وأيام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الرواية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يصلنا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انتشرت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بشكل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يخلو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الإشارة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أقواله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ومنها</w:t>
      </w:r>
      <w:r w:rsidDel="00000000" w:rsidR="00000000" w:rsidRPr="00000000">
        <w:rPr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فس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وء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يصبهم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يورثون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الضعفاء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الغلمان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أطلق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أعطى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غزوة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ابتاعوا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فأصابوا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النصارى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النجاشي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إفراد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النجاشي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والحقيقة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وعروة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راويا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مرفوعة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left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عطاء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الغزال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الألثغ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المعتزلي</w:t>
      </w:r>
      <w:r w:rsidDel="00000000" w:rsidR="00000000" w:rsidRPr="00000000">
        <w:rPr>
          <w:rtl w:val="1"/>
        </w:rPr>
        <w:t xml:space="preserve"> ،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مخزوم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    ( 80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غزالا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لتردده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سوق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غزالين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البلغاء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والمتكلمين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يلثغ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فيجعلها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فتجنب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خطابه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تأتيه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الرسائل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قرأها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لأحدهم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أجعلت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تنطق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left="2880"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وقطعتني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كأنك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الخازن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الصاحب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تجنب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left="2880"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تجنب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لفظة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العنق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لمناظرة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فرأه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الصنعة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لتعلق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فاسترجع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ناظره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فقطعه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قيامه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تلميذا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فاعتزل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فسمي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أتباعه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بالمعتزلة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مرتكب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بجواب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استئذان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مرتكب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المنزلتين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تصانيف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أصناف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المرجئة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والمنزلة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المنزلتين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والسبيل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والتوبة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( 131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حكاها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الماوردي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يد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الخراساني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وائل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وجابر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مناكير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هرب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وسجنه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الخراساني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أعوام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وتحيل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مختفيا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حائك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فأتيته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فجهدت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فأبى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فأعطيته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درهما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فأذن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فدخلت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فجهدت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فتركته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برز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            ( </w:t>
      </w:r>
      <w:r w:rsidDel="00000000" w:rsidR="00000000" w:rsidRPr="00000000">
        <w:rPr>
          <w:rtl w:val="1"/>
        </w:rPr>
        <w:t xml:space="preserve">سذور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بخراسان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فتغيب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فتخلص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يسرني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الطالقاني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أعطيت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أدخلت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ينصحني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أدخلني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أعطاني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مقطعات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" .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  ( 139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الرباحي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90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الإذن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قاتله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المشركين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ويكف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         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فروي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إسرائيل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عوقبوا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يطلع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يضئ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يطول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ثيابهم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وء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أصبنا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ذنوبا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عظاما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فانصرفوا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فدعاهم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فقرأها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الموجع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لإن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الربيع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نجى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بقبض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أرواحهم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تمسهم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وخرجت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شفير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الأخدود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الكفار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فأحرقتهم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الكوفي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بالولاء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النجود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وطلحة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عتيبة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الهمذاني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وفضيل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وعطية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وحماد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وهارون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لتشيعه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والفضائل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المتقدمة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لطيف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( 141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التصنيف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ومروياته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يتعاظمه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حفظهما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الاستثناء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منقطع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خطأ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الرزاق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     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شغل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يلقى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ٍّ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.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عمرو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عبيد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عثمان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بالولاء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الزاهد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المتكلم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المشهور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عرادة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يربوع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مالك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( 80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نساجا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شرطيا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واشتهر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وزهده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ماشيا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وبعيره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يركبه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والضعيف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". </w:t>
      </w:r>
      <w:r w:rsidDel="00000000" w:rsidR="00000000" w:rsidRPr="00000000">
        <w:rPr>
          <w:sz w:val="24"/>
          <w:szCs w:val="24"/>
          <w:rtl w:val="1"/>
        </w:rPr>
        <w:t xml:space="preserve">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تصانيف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شيوخ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المعتزلة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ومفتيها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( 144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ورثاه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المنصور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بخليفة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رثى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سواه</w:t>
      </w:r>
      <w:r w:rsidDel="00000000" w:rsidR="00000000" w:rsidRPr="00000000">
        <w:rPr>
          <w:sz w:val="24"/>
          <w:szCs w:val="24"/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الدارقطني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حكاها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السكينة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التابوت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رآه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الكافرون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الرزاق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سبقونا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يسأل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اءهم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خبره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اءهم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يز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208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بتخليد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المتعمد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أصغر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مغفرة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السائب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النضر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السائب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الكلبي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قضاعة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رافضيا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سبئيا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مرجئا</w:t>
      </w:r>
      <w:r w:rsidDel="00000000" w:rsidR="00000000" w:rsidRPr="00000000">
        <w:rPr>
          <w:sz w:val="24"/>
          <w:szCs w:val="24"/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سبأ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كذ</w:t>
      </w:r>
      <w:r w:rsidDel="00000000" w:rsidR="00000000" w:rsidRPr="00000000">
        <w:rPr>
          <w:sz w:val="24"/>
          <w:szCs w:val="24"/>
          <w:rtl w:val="1"/>
        </w:rPr>
        <w:t xml:space="preserve">ّ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والنسائي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حاتم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مجمع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تركه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استقدمه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وأجلسه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ففسرها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أمليت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اكتبوا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ضعيف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ورضوه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بالأباطيل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ينبغي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دفن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هانئ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مناكير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افتراها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فأملاه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الأصنام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وسكن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وبنوه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السائب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وعبيد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الكلبي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( 146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الرزاق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بأسيرين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وعدتنا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أسيرا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جئت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بأسيرين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تمنعنا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زهادة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العدو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قمنا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خشية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يقتطعك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المشركون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لأصحابك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رئاب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*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تعلمون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*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فمشى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أولئك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يذك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*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أجاءك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ثناؤه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ملكه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أفتدخلون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وأطول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والصاد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وستون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وأطول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مائتان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ومائتا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وأطول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مائتان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ومائتا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ندري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أقليلا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أعطيت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قاموا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لأخيه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ريكم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وستون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ومائتان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ومائتان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سبعمائة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وأربع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وثلاثون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تشابه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ويزعمون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الاحتجاج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بنقله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يحتج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انفرد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مقتضى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ذكرناها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التكرار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فأطم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!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المواضع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القليلة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لامرأته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المرأة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رعائيل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مقاتل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حيان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بسطام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البلخي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بالفارسية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والربيع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السادسة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الخمسين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والأربعة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وجالسه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المناقب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النديم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وحاجي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خليفة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فرائض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مؤمنو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فاشتد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        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لمؤمني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نسخها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الأش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عصمه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امرأة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وزا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اضا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والصلح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المرأة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فيتزو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أعطيك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والنهار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فترضى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اصطلحا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دؤوبهما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شئت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رددته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النطفة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10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حنيفة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النعمان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النعمان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حنيفة</w:t>
      </w:r>
      <w:r w:rsidDel="00000000" w:rsidR="00000000" w:rsidRPr="00000000">
        <w:rPr>
          <w:i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( 80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وطبقته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الأذكياء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والعبادة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والسخاء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الولاة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الخز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بالبصرة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بالمدينة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بمكة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( 150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ترجمته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مستفيضة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ومواقف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سأكتفي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الشواهد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الحكايات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دخل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اللصوص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فأخذوا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متاعه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واستحلفوه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بالطلاق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فأصبح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اللصوص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يبيعون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متاعه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يتكلم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يمينه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يشاور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مسجدك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محلتك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فأحضرهم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متاعه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فاجمعوا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وأدخلوهم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لصك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بلصه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لصه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فاقبضوا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ففعلوا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لاقوا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التخصيص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بالفتيات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الإرشاد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التحريم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القشيري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احتاجوا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الزكاة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المفروضة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والفقير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مقاتل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سليمان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مقاتل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سليمان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مولاهم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الخراساني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الثعلبي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المروزي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الشعبي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وعكرمة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بحرا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بالتجسيم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متروك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بعضهم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وعرفه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والتعديل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والمناكير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" .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المؤلفات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ومتشابه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والناسخ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والمنسوخ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والوجوه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والنظائر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بالبصرة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( 150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كنتم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مؤمنين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الحواريون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القصارون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معتمر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المستقدمين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معتمر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فحدثت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       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فاصبروا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            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بالفاحشة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عصيان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إسحاق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المطلبي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المدني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مناف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تابعي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والمقبري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ونافع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وطبقتهم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الحمادان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وزياد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البكائي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وآخرون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أوعية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المغازي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ووهاه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بالمدينة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يوازيه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سياقا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للأخبار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العسقلاني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المغازي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يدلس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بالتشيع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تصانيفه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المشهورة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الإسكندرية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( 119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tl w:val="1"/>
        </w:rPr>
        <w:t xml:space="preserve">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                          ( 150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ودفن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بمقبرة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الخيزران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الرشيد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الطبيعي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بمرويات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لتعلقها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والمغازي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والحاجة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:          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أدركوا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ونجوا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،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أرميا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وضعفه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بزمان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الكنيسة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نذيرا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الكنيسة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ماؤها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فانطلقا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يرجعان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والملائكة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مقبلة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بالبشارة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زكريا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لشأنا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الضغن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والخزرج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يتحدثون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فغاظه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وجماعتهم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وصلاح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العداوة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البلاد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ملؤهم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وأنشدهم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تقاولوا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اقتتلت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والخزرج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للأوس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الخزرج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وتنازعوا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وتفاخروا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تواثب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الركب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قيظي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حارثة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الخزرج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فتقاولا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لصاحبه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شئتم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رددناها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الفريقان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موعدكم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والظاهرة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فخرجوا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وانضمت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والخزرج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دعواهم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المهاجرين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أبدعوى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أظهركم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هداكم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وأكرمكم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وقطع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واستنقذكم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ترجعون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كنتم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كفارا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الشيطان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عدوهم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فألقوا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أيديهم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وبكوا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وعانق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انصرفوا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سامعين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مطيعين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أطفأ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شماس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بغافل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قيظي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قومهما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صنعوا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صنعوا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13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بسطام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الأزدي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العتكي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الفقيه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بواسط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( 82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وبها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نشأ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وفاته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بالعراق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وجانب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الضعفاء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والمتروكين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سفيان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الثوري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يقول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شعبة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المؤمنين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الشافعي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لولا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شعبة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عرف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بالعراق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السجستاني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حديثا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العجلي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مأمون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الأصمعي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الغرائب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( 160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الخناجر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اليامي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الهمداني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حريص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خشى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ميثاق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وإياكم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7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سفيان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الثوري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فنهاه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لاحتاجا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رؤوس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وراوده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فتوارى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مستخفيا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( 161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الفرائض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         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قفيز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ورضاض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الألواح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وبالأسحار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القانتون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السحر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السحر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المستغفرون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فيستغفر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ولئك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فيصلون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فيلحقون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الغافلون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كالموتى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قبورهم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     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الأحوص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مسروق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والأسد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عنبسة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وليصفحوا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أوحى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الآدميين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أكتبك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المتواضعين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صافيته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مودتك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أقنعه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بالرزق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وأحركه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للخطر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البكاء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يستغفرني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بالأسحار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ويبغض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الأبيض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مخاريق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ورقاء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كليب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المدائن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خراسانيا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المدائن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المنكدر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الأزرق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وشبابة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وقبيصة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والفريابي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الجعد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ترجع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إرجاء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صدوق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إسماعيل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دخلنا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يموت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ويهلل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لابنه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اكفني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يشغلوني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نجيح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كتابك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سماع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بعضه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فنفض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ثوبه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سألت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شيبان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ليحيى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فأيما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جريج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جريج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مرسل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ورقاء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وستين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الصيرفي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قصصت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الأحمر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محرز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حيان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وراوية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عالم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بالأدب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بصير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sz w:val="24"/>
          <w:szCs w:val="24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فرغانة</w:t>
      </w:r>
      <w:r w:rsidDel="00000000" w:rsidR="00000000" w:rsidRPr="00000000">
        <w:rPr>
          <w:sz w:val="24"/>
          <w:szCs w:val="24"/>
          <w:rtl w:val="1"/>
        </w:rPr>
        <w:t xml:space="preserve"> 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أعتقهما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موسى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الأشعري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بلال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بردة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أعلامها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والرواة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كالأصمعي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السجستاني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ونظمه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المجيدين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تنتهي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دواوينه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فقد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الشعر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وينسبه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للعرب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الطيب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وينسبه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إشارات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ونسبته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بمذاهب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وطرائقهم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يميز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ينسبون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القدامى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يذكرون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والتكفير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صنيعه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الامتناع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اعتراف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انتحال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وبذل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عظيما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يتكلم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شكوا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يثقون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الأصمعي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والأصمعي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المصنفات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ديوان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شعر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حمله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نواس</w:t>
      </w:r>
      <w:r w:rsidDel="00000000" w:rsidR="00000000" w:rsidRPr="00000000">
        <w:rPr>
          <w:sz w:val="24"/>
          <w:szCs w:val="24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جبال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ومقدمة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نحو</w:t>
      </w:r>
      <w:r w:rsidDel="00000000" w:rsidR="00000000" w:rsidRPr="00000000">
        <w:rPr>
          <w:sz w:val="24"/>
          <w:szCs w:val="24"/>
          <w:rtl w:val="1"/>
        </w:rPr>
        <w:t xml:space="preserve"> ( 180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وردت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الإشارة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جهتين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الأولى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أخباره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والثانية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أقواله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فقمن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حكاه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الزمخشري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تفسيره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لقوله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تعالى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للقوام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بتعذيب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لخزنتها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جهنم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تهويلا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وتفظيعا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ويحتمل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جهنم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قعرا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جهنام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النابغة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جهنام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لزعمهم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المنتسب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ياليم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الأثاث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كحمامة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وحمام</w:t>
      </w:r>
      <w:r w:rsidDel="00000000" w:rsidR="00000000" w:rsidRPr="00000000">
        <w:rPr>
          <w:sz w:val="24"/>
          <w:szCs w:val="24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العنبر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للمشاك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17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(104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بخارى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التدليس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والإرسال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ذكره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الثعلبي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rtl w:val="1"/>
        </w:rPr>
        <w:t xml:space="preserve">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لزمه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سنين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تصانيفه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( 183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80"/>
        </w:rPr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8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الصباح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هريرة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يرفث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يفسق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كهيئة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الدورقي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سحيم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فيميتهم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كالأد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كالحام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A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الرزاق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          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فسألهم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(2)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A2">
      <w:pPr>
        <w:widowControl w:val="0"/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يونس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حبيب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A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يونس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حبيب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بالولاء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أعجمي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بالنحوي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( 94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بفتح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المشددة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دجلة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وواسط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العلاء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ومذاهب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يتفرد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وسمع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الكسائي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والفراء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حلقته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ينتابها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وفصحاء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الأعراب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ووفود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البادية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اختلفت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ألواحي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حفظه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النوادر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كلامه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لعيي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لمنقوص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بهاء</w:t>
      </w:r>
      <w:r w:rsidDel="00000000" w:rsidR="00000000" w:rsidRPr="00000000">
        <w:rPr>
          <w:sz w:val="24"/>
          <w:szCs w:val="24"/>
          <w:rtl w:val="0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يتزوج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( 182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A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بهرام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تعلمون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إسرائيل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A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الفرقان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المزرع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تلخيص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المكي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الفرقان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A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أعرابي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أتانا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شبابكم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الغدير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فأجلسنا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جناحين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الخشب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فأدخلنا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بساتين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وراءها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بساتون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الشياطون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جائز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A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)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يريده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A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نجعلك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ينظروا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فيعرفوا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A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الكسائي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A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حمزة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بالولاء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الكوفي</w:t>
      </w:r>
      <w:r w:rsidDel="00000000" w:rsidR="00000000" w:rsidRPr="00000000">
        <w:rPr>
          <w:sz w:val="24"/>
          <w:szCs w:val="24"/>
          <w:rtl w:val="0"/>
        </w:rPr>
        <w:t xml:space="preserve"> ،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فيروز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أسد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واللغة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المشهورين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يرتدي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كساء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تلقيبه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أحرمت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كساء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 ( 119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فجلس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النجود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عصره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اعتماده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انتهت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رئاسة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الإقراء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شيخه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انفرد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وأبوالحارث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الأصبهاني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سريج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النهشلي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تلميذه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أذهله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وروايته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للأشعار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بوادي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وتهامة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البوادي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وأنفد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قنينة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فرجع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ينشد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فوجده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وخلفه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فجلس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موطنه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هائلة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الدراسة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والتصنيف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الفطنة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والذكاء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وتصد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للتدريس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وذاع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فتقوى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المهدي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واستقدمه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مسألة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فأعجب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واستبقاه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حاشية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الرشيد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والمأمون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فجعله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يؤدبهما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الخلافة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الرشيد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جلسائه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المؤانسين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رحلاته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رحلته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الرشيد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دفنت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برنبويه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وأخباره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تتناقلها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ومناظرته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مشهورة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تلاميذه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زكريا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 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( 189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بالري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عاما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ً 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مؤلفات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"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نوادر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ومختصر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مقطوع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وموصوله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المتشابه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يلحن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العوام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 .</w:t>
      </w:r>
    </w:p>
    <w:p w:rsidR="00000000" w:rsidDel="00000000" w:rsidP="00000000" w:rsidRDefault="00000000" w:rsidRPr="00000000" w14:paraId="000000A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تكاد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تخلو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السبعة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المشهورين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جهوده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A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حكاه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الناهية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تعبدوا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بجزم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B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اختلفوا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تعبدون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الإعراب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خمسة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رفعه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يعبدوا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ميثاقهم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يعبدوا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أسقطت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ئمي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الوغى</w:t>
      </w:r>
    </w:p>
    <w:p w:rsidR="00000000" w:rsidDel="00000000" w:rsidP="00000000" w:rsidRDefault="00000000" w:rsidRPr="00000000" w14:paraId="000000B2">
      <w:pPr>
        <w:widowControl w:val="0"/>
        <w:bidi w:val="1"/>
        <w:spacing w:before="120" w:lineRule="auto"/>
        <w:ind w:left="2880"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اللذ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دي</w:t>
      </w:r>
      <w:r w:rsidDel="00000000" w:rsidR="00000000" w:rsidRPr="00000000">
        <w:rPr>
          <w:rtl w:val="1"/>
        </w:rPr>
        <w:t xml:space="preserve">؟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عطف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والزجاج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وقطرب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سقطت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ورجح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إضمار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يمنعنا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إضمار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الإضمار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ظاهره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B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ميثاق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    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وجهان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صبرهم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أجرأهم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أصبرك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أصبرك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سخاءك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الأع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فلعلهم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فرغت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وفرغت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فرغت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أفرغ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فرغت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أفرغ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وشملهم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وشملهم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20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وسي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B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السدوسي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اتصال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نيسابور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مشايخها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بالأنساب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وصديق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الفراهيدي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وأخذ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بخارى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الجمحي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قريحة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بالبصرة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تتناول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والمناخية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الجغرافيين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بالجغرافيا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البشرية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جماهير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القبائل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مطبوع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1"/>
        </w:rPr>
        <w:t xml:space="preserve">وحذف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قريش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إلينا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( 195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وبعدد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B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الكناية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الكناية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الفضة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الإملاق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لخم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نكص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ناكسي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رؤوسهم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السدوسي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خاضعة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     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كالرماد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حضرموت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كالرملة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انصرمت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C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C8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وكيع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الجراح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الجراح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مليح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الرؤاسي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سفيان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الكوفي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الحنفي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والرؤاسي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رؤاس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.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( 129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           ( 128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. </w:t>
      </w:r>
      <w:r w:rsidDel="00000000" w:rsidR="00000000" w:rsidRPr="00000000">
        <w:rPr>
          <w:sz w:val="24"/>
          <w:szCs w:val="24"/>
          <w:rtl w:val="1"/>
        </w:rPr>
        <w:t xml:space="preserve">محدث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عصره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حافظ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فقيه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عابد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شيوخ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الشافعي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أحمد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أوعى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كتبا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رقعة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معين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أفضل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الرشيد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قضاء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فامتنع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إسماعيل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راجعا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( 197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: ( 196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خطيئتي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أخطأتها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تخلقني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ابتدعت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أخلقك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فاغفره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السبيعي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عازب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يغفر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            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ادخلوا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وهناد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الهذلي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قضى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مسمى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يبعث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C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قسيط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أضاف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يصلحه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فأرسل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أسلفنى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دقيقا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برهن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فأخبرته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ولئن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أسلفني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لأؤدين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يعزيه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قزعة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الباهلي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الرفاعي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عرضات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عرضتان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فجدال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ومعاذير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فآخذ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بيمينه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بشماله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يتهاون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بالتكبيرة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البشرى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مواطن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جحادة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يتساءلون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(1)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سفيان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عيينة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D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سفيان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ميمون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الهلالي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المعروف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عيينة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( 107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         ( 198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ثمانين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تابعي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بكتابة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الزهري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السبيعي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والأسود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ومنصور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المعتمر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وكثيرين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شيوخه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المبارك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وكثيرون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المشاهير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والآثار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للقرآن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( 91 )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وعظم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منزلته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مبثوثة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الستة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D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تجعلها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المرأتين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بالمشاورة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لتقتدي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منقصة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مدحهم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شورى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D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تفتقروا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المدمدمة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المعاتبة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   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الرزاق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الظ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تسلط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فيقتلونا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دجاجة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فأعطاها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الصلوات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للوالدين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الصلوات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للوالدين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نعمركم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شبتم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الإقامة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التنويه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ومرويات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العراقيين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أكانوا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محدثين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لغويين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يعدهم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المؤرخون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تأليف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E3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الفراهيدي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175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E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تقتصر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تنقيط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المصحف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حركات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تقدم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E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الجسد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ونحوه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7">
      <w:pPr>
        <w:widowControl w:val="0"/>
        <w:bidi w:val="1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كالخبر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بالحال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والاستقبال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الدخول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الزمان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bidi w:val="1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رقيبا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9">
      <w:pPr>
        <w:widowControl w:val="0"/>
        <w:bidi w:val="1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نحسات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مشؤمات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A">
      <w:pPr>
        <w:widowControl w:val="0"/>
        <w:bidi w:val="1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( </w:t>
      </w:r>
      <w:r w:rsidDel="00000000" w:rsidR="00000000" w:rsidRPr="00000000">
        <w:rPr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b w:val="1"/>
          <w:sz w:val="24"/>
          <w:szCs w:val="24"/>
          <w:rtl w:val="1"/>
        </w:rPr>
        <w:t xml:space="preserve"> 180</w:t>
      </w:r>
      <w:r w:rsidDel="00000000" w:rsidR="00000000" w:rsidRPr="00000000">
        <w:rPr>
          <w:b w:val="1"/>
          <w:sz w:val="24"/>
          <w:szCs w:val="24"/>
          <w:rtl w:val="1"/>
        </w:rPr>
        <w:t xml:space="preserve">هـ</w:t>
      </w:r>
      <w:r w:rsidDel="00000000" w:rsidR="00000000" w:rsidRPr="00000000">
        <w:rPr>
          <w:b w:val="1"/>
          <w:sz w:val="24"/>
          <w:szCs w:val="24"/>
          <w:rtl w:val="1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EB">
      <w:pPr>
        <w:widowControl w:val="0"/>
        <w:bidi w:val="1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تلميذ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ونقلوا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أستاذه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شاهدوا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وحكمة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وفضلا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وإحسانا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تعجبوا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موصوفا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EC">
      <w:pPr>
        <w:widowControl w:val="0"/>
        <w:bidi w:val="1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         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حسرتي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احضري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11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Courier New"/>
  <w:font w:name="Arial"/>
  <w:font w:name="Calibri"/>
  <w:font w:name="AGA Arabesqu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 .</w:t>
      </w:r>
    </w:p>
  </w:footnote>
  <w:footnote w:id="1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154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2 / 958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458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 .</w:t>
      </w:r>
    </w:p>
  </w:footnote>
  <w:footnote w:id="2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1/41 .</w:t>
      </w:r>
    </w:p>
  </w:footnote>
  <w:footnote w:id="3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5/165 .</w:t>
      </w:r>
    </w:p>
  </w:footnote>
  <w:footnote w:id="4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/ 179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119 .</w:t>
      </w:r>
    </w:p>
  </w:footnote>
  <w:footnote w:id="6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97 .</w:t>
      </w:r>
    </w:p>
  </w:footnote>
  <w:footnote w:id="7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8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 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4/518 .</w:t>
      </w:r>
    </w:p>
  </w:footnote>
  <w:footnote w:id="9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0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ونقصانه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( 43 )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الوداع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( 4055 )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أكملت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دينكم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( 4240 )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مبينا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( 4456 )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الاعتصام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( 6726 )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( 5332 )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( 5333 )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( 5334 )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1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61 .</w:t>
      </w:r>
    </w:p>
  </w:footnote>
  <w:footnote w:id="12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432 .</w:t>
      </w:r>
    </w:p>
  </w:footnote>
  <w:footnote w:id="13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41 .</w:t>
      </w:r>
    </w:p>
  </w:footnote>
  <w:footnote w:id="14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79 .</w:t>
      </w:r>
    </w:p>
  </w:footnote>
  <w:footnote w:id="15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3/244 .</w:t>
      </w:r>
    </w:p>
  </w:footnote>
  <w:footnote w:id="16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/419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للزركلي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60 .</w:t>
      </w:r>
    </w:p>
  </w:footnote>
  <w:footnote w:id="17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198 .</w:t>
      </w:r>
    </w:p>
  </w:footnote>
  <w:footnote w:id="18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4/180 .</w:t>
      </w:r>
    </w:p>
  </w:footnote>
  <w:footnote w:id="19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260 .</w:t>
      </w:r>
    </w:p>
  </w:footnote>
  <w:footnote w:id="20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53 .</w:t>
      </w:r>
    </w:p>
  </w:footnote>
  <w:footnote w:id="21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490 . </w:t>
      </w:r>
    </w:p>
  </w:footnote>
  <w:footnote w:id="22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 </w:t>
      </w:r>
    </w:p>
  </w:footnote>
  <w:footnote w:id="23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3/222 .</w:t>
      </w:r>
    </w:p>
  </w:footnote>
  <w:footnote w:id="24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14 .</w:t>
      </w:r>
    </w:p>
  </w:footnote>
  <w:footnote w:id="25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8/261 .</w:t>
      </w:r>
    </w:p>
  </w:footnote>
  <w:footnote w:id="26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تمييزا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مروان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متهم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بالكذب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4/568 .</w:t>
      </w:r>
    </w:p>
  </w:footnote>
  <w:footnote w:id="27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5/264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313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71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: 1 / 308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5 / 206 .</w:t>
      </w:r>
      <w:r w:rsidDel="00000000" w:rsidR="00000000" w:rsidRPr="00000000">
        <w:rPr>
          <w:rtl w:val="0"/>
        </w:rPr>
      </w:r>
    </w:p>
  </w:footnote>
  <w:footnote w:id="28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 308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29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1/448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5 / 206 .</w:t>
      </w:r>
      <w:r w:rsidDel="00000000" w:rsidR="00000000" w:rsidRPr="00000000">
        <w:rPr>
          <w:rtl w:val="0"/>
        </w:rPr>
      </w:r>
    </w:p>
  </w:footnote>
  <w:footnote w:id="30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174 .</w:t>
      </w:r>
    </w:p>
  </w:footnote>
  <w:footnote w:id="31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7/415 .</w:t>
      </w:r>
    </w:p>
  </w:footnote>
  <w:footnote w:id="32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184 .</w:t>
      </w:r>
    </w:p>
  </w:footnote>
  <w:footnote w:id="33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2/188 .</w:t>
      </w:r>
    </w:p>
  </w:footnote>
  <w:footnote w:id="34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ورغائب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121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1/ 454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122 -123. </w:t>
      </w:r>
      <w:r w:rsidDel="00000000" w:rsidR="00000000" w:rsidRPr="00000000">
        <w:rPr>
          <w:rtl w:val="0"/>
        </w:rPr>
      </w:r>
    </w:p>
  </w:footnote>
  <w:footnote w:id="35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7/415 .</w:t>
      </w:r>
    </w:p>
  </w:footnote>
  <w:footnote w:id="36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82 .</w:t>
      </w:r>
    </w:p>
  </w:footnote>
  <w:footnote w:id="37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2/85 .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7/1-2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2/320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468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2/302-303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</w:footnote>
  <w:footnote w:id="39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ببخارا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السواق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فاجلدوه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فأرسلني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لأضربها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فوجدتها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بنفاسها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وخشيت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ضربتها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أقتلها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فرددت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تماثل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وتشتد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أحسنت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229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( 16781 ) .</w:t>
      </w:r>
    </w:p>
  </w:footnote>
  <w:footnote w:id="40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فهارسها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داغر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الأندلس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5/ 311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2/317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1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الماوردي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مقهوي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5/514 .</w:t>
      </w:r>
    </w:p>
  </w:footnote>
  <w:footnote w:id="42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43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9/425 .</w:t>
      </w:r>
    </w:p>
  </w:footnote>
  <w:footnote w:id="44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/264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/170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/207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16.</w:t>
      </w:r>
    </w:p>
  </w:footnote>
  <w:footnote w:id="45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1/427 ، 441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2/179 .</w:t>
      </w:r>
    </w:p>
  </w:footnote>
  <w:footnote w:id="46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190 .</w:t>
      </w:r>
    </w:p>
  </w:footnote>
  <w:footnote w:id="47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1/65 .</w:t>
      </w:r>
    </w:p>
  </w:footnote>
  <w:footnote w:id="48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24 .</w:t>
      </w:r>
    </w:p>
  </w:footnote>
  <w:footnote w:id="49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6/178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3/52. </w:t>
      </w:r>
    </w:p>
  </w:footnote>
  <w:footnote w:id="50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54 .</w:t>
      </w:r>
    </w:p>
  </w:footnote>
  <w:footnote w:id="51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3/17 .</w:t>
      </w:r>
    </w:p>
  </w:footnote>
  <w:footnote w:id="52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53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6/97  .</w:t>
      </w:r>
    </w:p>
  </w:footnote>
  <w:footnote w:id="54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39 .</w:t>
      </w:r>
    </w:p>
  </w:footnote>
  <w:footnote w:id="55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 114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8/168 .</w:t>
      </w:r>
    </w:p>
  </w:footnote>
  <w:footnote w:id="56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57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7/230. </w:t>
      </w:r>
    </w:p>
  </w:footnote>
  <w:footnote w:id="58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6 – 8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945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1972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/ 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ويعرف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بالرجال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الاسترابادي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</w:t>
      </w:r>
      <w:r w:rsidDel="00000000" w:rsidR="00000000" w:rsidRPr="00000000">
        <w:rPr>
          <w:rtl w:val="0"/>
        </w:rPr>
      </w:r>
    </w:p>
  </w:footnote>
  <w:footnote w:id="59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255 .</w:t>
      </w:r>
    </w:p>
  </w:footnote>
  <w:footnote w:id="60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2/290. </w:t>
      </w:r>
    </w:p>
  </w:footnote>
  <w:footnote w:id="61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92 .</w:t>
      </w:r>
    </w:p>
  </w:footnote>
  <w:footnote w:id="62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3/433 .</w:t>
      </w:r>
    </w:p>
  </w:footnote>
  <w:footnote w:id="63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89 .</w:t>
      </w:r>
    </w:p>
  </w:footnote>
  <w:footnote w:id="64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2/362 .</w:t>
      </w:r>
    </w:p>
  </w:footnote>
  <w:footnote w:id="65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17/278 .</w:t>
      </w:r>
    </w:p>
  </w:footnote>
  <w:footnote w:id="66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55 .</w:t>
      </w:r>
    </w:p>
  </w:footnote>
  <w:footnote w:id="67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20/535 .</w:t>
      </w:r>
    </w:p>
  </w:footnote>
  <w:footnote w:id="68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146 .</w:t>
      </w:r>
    </w:p>
  </w:footnote>
  <w:footnote w:id="69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1/491 .</w:t>
      </w:r>
    </w:p>
  </w:footnote>
  <w:footnote w:id="70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71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5/24 .</w:t>
      </w:r>
    </w:p>
  </w:footnote>
  <w:footnote w:id="72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الناجية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120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أصبهان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لنشوان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الملكشاه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3/461-462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117 .</w:t>
      </w:r>
    </w:p>
  </w:footnote>
  <w:footnote w:id="73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248 .</w:t>
      </w:r>
    </w:p>
  </w:footnote>
  <w:footnote w:id="74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6/151 .</w:t>
      </w:r>
      <w:r w:rsidDel="00000000" w:rsidR="00000000" w:rsidRPr="00000000">
        <w:rPr>
          <w:rtl w:val="0"/>
        </w:rPr>
      </w:r>
    </w:p>
  </w:footnote>
  <w:footnote w:id="75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المطففين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السورتي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2/738 .</w:t>
      </w:r>
    </w:p>
  </w:footnote>
  <w:footnote w:id="76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77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2/326 .</w:t>
      </w:r>
    </w:p>
  </w:footnote>
  <w:footnote w:id="78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11 .</w:t>
      </w:r>
    </w:p>
  </w:footnote>
  <w:footnote w:id="79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3/216 . </w:t>
      </w:r>
    </w:p>
  </w:footnote>
  <w:footnote w:id="80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41 .</w:t>
      </w:r>
    </w:p>
  </w:footnote>
  <w:footnote w:id="81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1/339 .</w:t>
      </w:r>
    </w:p>
  </w:footnote>
  <w:footnote w:id="82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93 .</w:t>
      </w:r>
    </w:p>
  </w:footnote>
  <w:footnote w:id="83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48 .</w:t>
      </w:r>
    </w:p>
  </w:footnote>
  <w:footnote w:id="84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1/464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5/117 .</w:t>
      </w:r>
    </w:p>
  </w:footnote>
  <w:footnote w:id="85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عكاشة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493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3/61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باعتناء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شتاينر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فيسبادن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178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 .</w:t>
      </w:r>
    </w:p>
  </w:footnote>
  <w:footnote w:id="86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7/270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431 ، 6/161 .</w:t>
      </w:r>
      <w:r w:rsidDel="00000000" w:rsidR="00000000" w:rsidRPr="00000000">
        <w:rPr>
          <w:rtl w:val="0"/>
        </w:rPr>
      </w:r>
    </w:p>
  </w:footnote>
  <w:footnote w:id="87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3/556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 .</w:t>
      </w:r>
    </w:p>
  </w:footnote>
  <w:footnote w:id="88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89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2/249 .</w:t>
      </w:r>
    </w:p>
  </w:footnote>
  <w:footnote w:id="90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91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92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93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94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دالرؤوف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2/194 .</w:t>
      </w:r>
    </w:p>
  </w:footnote>
  <w:footnote w:id="95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1/66 .</w:t>
      </w:r>
    </w:p>
  </w:footnote>
  <w:footnote w:id="96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69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70 .</w:t>
      </w:r>
    </w:p>
  </w:footnote>
  <w:footnote w:id="97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98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15/18. </w:t>
      </w:r>
    </w:p>
  </w:footnote>
  <w:footnote w:id="99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3/375 ، 403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الكلاباذي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الاصبهاني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القيسراني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2/526 .</w:t>
      </w:r>
      <w:r w:rsidDel="00000000" w:rsidR="00000000" w:rsidRPr="00000000">
        <w:rPr>
          <w:rtl w:val="0"/>
        </w:rPr>
      </w:r>
    </w:p>
  </w:footnote>
  <w:footnote w:id="100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5/308 ، 342- 343،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:10/277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968 .</w:t>
      </w:r>
      <w:r w:rsidDel="00000000" w:rsidR="00000000" w:rsidRPr="00000000">
        <w:rPr>
          <w:rtl w:val="0"/>
        </w:rPr>
      </w:r>
    </w:p>
  </w:footnote>
  <w:footnote w:id="101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مغاني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الغيتابي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3/79 .</w:t>
      </w:r>
    </w:p>
  </w:footnote>
  <w:footnote w:id="102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/459 .</w:t>
      </w:r>
    </w:p>
  </w:footnote>
  <w:footnote w:id="103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200 .</w:t>
      </w:r>
    </w:p>
  </w:footnote>
  <w:footnote w:id="104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135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05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54 .</w:t>
      </w:r>
    </w:p>
  </w:footnote>
  <w:footnote w:id="106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102 .</w:t>
      </w:r>
    </w:p>
  </w:footnote>
  <w:footnote w:id="107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 3341.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67 .</w:t>
      </w:r>
      <w:r w:rsidDel="00000000" w:rsidR="00000000" w:rsidRPr="00000000">
        <w:rPr>
          <w:rtl w:val="0"/>
        </w:rPr>
      </w:r>
    </w:p>
  </w:footnote>
  <w:footnote w:id="108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191 .</w:t>
      </w:r>
    </w:p>
  </w:footnote>
  <w:footnote w:id="109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10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1/525 .</w:t>
      </w:r>
    </w:p>
  </w:footnote>
  <w:footnote w:id="111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134  .</w:t>
      </w:r>
    </w:p>
  </w:footnote>
  <w:footnote w:id="112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4/207 .</w:t>
      </w:r>
    </w:p>
  </w:footnote>
  <w:footnote w:id="113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128 .</w:t>
      </w:r>
    </w:p>
  </w:footnote>
  <w:footnote w:id="114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5/505 .</w:t>
      </w:r>
    </w:p>
  </w:footnote>
  <w:footnote w:id="115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33 .</w:t>
      </w:r>
    </w:p>
  </w:footnote>
  <w:footnote w:id="116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16/14 .</w:t>
      </w:r>
    </w:p>
  </w:footnote>
  <w:footnote w:id="117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8 .</w:t>
      </w:r>
    </w:p>
  </w:footnote>
  <w:footnote w:id="118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24/358 .</w:t>
      </w:r>
    </w:p>
  </w:footnote>
  <w:footnote w:id="119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4/2/81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13/323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</w:p>
  </w:footnote>
  <w:footnote w:id="120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414 .</w:t>
      </w:r>
    </w:p>
  </w:footnote>
  <w:footnote w:id="121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2005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 .</w:t>
      </w:r>
    </w:p>
  </w:footnote>
  <w:footnote w:id="122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123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8/189 .</w:t>
      </w:r>
    </w:p>
  </w:footnote>
  <w:footnote w:id="124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60 .</w:t>
      </w:r>
    </w:p>
  </w:footnote>
  <w:footnote w:id="125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لطائف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حواشيه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3/120 .</w:t>
      </w:r>
    </w:p>
  </w:footnote>
  <w:footnote w:id="126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354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253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 160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112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196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 279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1/459 .</w:t>
      </w:r>
    </w:p>
  </w:footnote>
  <w:footnote w:id="127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91 .</w:t>
      </w:r>
    </w:p>
  </w:footnote>
  <w:footnote w:id="128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2/351 .</w:t>
      </w:r>
    </w:p>
  </w:footnote>
  <w:footnote w:id="129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8/56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/ 259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261 .</w:t>
      </w:r>
      <w:r w:rsidDel="00000000" w:rsidR="00000000" w:rsidRPr="00000000">
        <w:rPr>
          <w:rtl w:val="0"/>
        </w:rPr>
      </w:r>
    </w:p>
  </w:footnote>
  <w:footnote w:id="130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( 13216 ) .</w:t>
      </w:r>
    </w:p>
  </w:footnote>
  <w:footnote w:id="131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87 .</w:t>
      </w:r>
    </w:p>
  </w:footnote>
  <w:footnote w:id="132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2/494 .</w:t>
      </w:r>
    </w:p>
  </w:footnote>
  <w:footnote w:id="133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134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73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( 13206 )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( 1270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21/ 184 . </w:t>
      </w:r>
    </w:p>
  </w:footnote>
  <w:footnote w:id="135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 214 - 234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مرجليوث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والشمائل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468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1 / 163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144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التقديس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الموصوفين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بالتدليس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القريوتي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           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19 .</w:t>
      </w:r>
    </w:p>
  </w:footnote>
  <w:footnote w:id="136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37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1/86 .</w:t>
      </w:r>
      <w:r w:rsidDel="00000000" w:rsidR="00000000" w:rsidRPr="00000000">
        <w:rPr>
          <w:rtl w:val="0"/>
        </w:rPr>
      </w:r>
    </w:p>
  </w:footnote>
  <w:footnote w:id="138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246 .</w:t>
      </w:r>
    </w:p>
  </w:footnote>
  <w:footnote w:id="139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2/263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1/665 . </w:t>
      </w:r>
    </w:p>
  </w:footnote>
  <w:footnote w:id="140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259 .</w:t>
      </w:r>
    </w:p>
  </w:footnote>
  <w:footnote w:id="141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1/350 .</w:t>
      </w:r>
    </w:p>
  </w:footnote>
  <w:footnote w:id="142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42 .</w:t>
      </w:r>
    </w:p>
  </w:footnote>
  <w:footnote w:id="143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42 .</w:t>
      </w:r>
    </w:p>
  </w:footnote>
  <w:footnote w:id="144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6/401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3/154 .</w:t>
      </w:r>
    </w:p>
  </w:footnote>
  <w:footnote w:id="145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98 .</w:t>
      </w:r>
    </w:p>
  </w:footnote>
  <w:footnote w:id="146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98 .</w:t>
      </w:r>
    </w:p>
  </w:footnote>
  <w:footnote w:id="147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99 .</w:t>
      </w:r>
    </w:p>
  </w:footnote>
  <w:footnote w:id="148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100 .</w:t>
      </w:r>
    </w:p>
  </w:footnote>
  <w:footnote w:id="149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2/278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طنطاوي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1/683 .</w:t>
      </w:r>
    </w:p>
  </w:footnote>
  <w:footnote w:id="150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: 104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9/255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4/297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عبدالرؤوف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‍  : 1/120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الزمزمي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85 .</w:t>
      </w:r>
    </w:p>
  </w:footnote>
  <w:footnote w:id="151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54 .</w:t>
      </w:r>
    </w:p>
  </w:footnote>
  <w:footnote w:id="152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2/73 .</w:t>
      </w:r>
    </w:p>
  </w:footnote>
  <w:footnote w:id="153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177 .</w:t>
      </w:r>
    </w:p>
  </w:footnote>
  <w:footnote w:id="154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3/341 .</w:t>
      </w:r>
    </w:p>
  </w:footnote>
  <w:footnote w:id="155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156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22/223 .</w:t>
      </w:r>
    </w:p>
  </w:footnote>
  <w:footnote w:id="157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187 .</w:t>
      </w:r>
    </w:p>
  </w:footnote>
  <w:footnote w:id="158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124 . </w:t>
      </w:r>
    </w:p>
  </w:footnote>
  <w:footnote w:id="159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9/174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7/270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13/274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   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كراتشي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  4 / 111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/47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250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والرسالة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المستطرفة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31 .</w:t>
      </w:r>
      <w:r w:rsidDel="00000000" w:rsidR="00000000" w:rsidRPr="00000000">
        <w:rPr>
          <w:rtl w:val="0"/>
        </w:rPr>
      </w:r>
    </w:p>
  </w:footnote>
  <w:footnote w:id="160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248 .</w:t>
      </w:r>
    </w:p>
  </w:footnote>
  <w:footnote w:id="161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2/271 .</w:t>
      </w:r>
    </w:p>
  </w:footnote>
  <w:footnote w:id="162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163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4/39 .</w:t>
      </w:r>
    </w:p>
  </w:footnote>
  <w:footnote w:id="164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51 .</w:t>
      </w:r>
    </w:p>
  </w:footnote>
  <w:footnote w:id="165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5/158 .</w:t>
      </w:r>
    </w:p>
  </w:footnote>
  <w:footnote w:id="166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167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356 .</w:t>
      </w:r>
    </w:p>
  </w:footnote>
  <w:footnote w:id="168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</w:p>
  </w:footnote>
  <w:footnote w:id="169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342 .</w:t>
      </w:r>
    </w:p>
  </w:footnote>
  <w:footnote w:id="170"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8/188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7/91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 167،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230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580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1/461 .</w:t>
      </w:r>
    </w:p>
  </w:footnote>
  <w:footnote w:id="171"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172"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1/231 .</w:t>
      </w:r>
    </w:p>
  </w:footnote>
  <w:footnote w:id="173"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41 .</w:t>
      </w:r>
    </w:p>
  </w:footnote>
  <w:footnote w:id="174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2/492 . </w:t>
      </w:r>
    </w:p>
  </w:footnote>
  <w:footnote w:id="175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49. </w:t>
      </w:r>
    </w:p>
  </w:footnote>
  <w:footnote w:id="176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8/193 .</w:t>
      </w:r>
    </w:p>
  </w:footnote>
  <w:footnote w:id="177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25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اللآلي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اللآلي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1936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412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179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242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104 </w:t>
      </w:r>
    </w:p>
  </w:footnote>
  <w:footnote w:id="178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49 .</w:t>
      </w:r>
    </w:p>
  </w:footnote>
  <w:footnote w:id="179"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5/352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هانئ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</w:p>
  </w:footnote>
  <w:footnote w:id="180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74 .</w:t>
      </w:r>
    </w:p>
  </w:footnote>
  <w:footnote w:id="181"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4/26. </w:t>
      </w:r>
    </w:p>
  </w:footnote>
  <w:footnote w:id="182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76 .</w:t>
      </w:r>
    </w:p>
  </w:footnote>
  <w:footnote w:id="183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1/253 .</w:t>
      </w:r>
    </w:p>
  </w:footnote>
  <w:footnote w:id="184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61 .</w:t>
      </w:r>
    </w:p>
  </w:footnote>
  <w:footnote w:id="185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1/219 </w:t>
      </w:r>
    </w:p>
  </w:footnote>
  <w:footnote w:id="186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32/519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اليقظان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بحيدرآباد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2/338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العجمي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الطرابلسي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  11 / 59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2/574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1/461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 90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2/353 .</w:t>
      </w:r>
      <w:r w:rsidDel="00000000" w:rsidR="00000000" w:rsidRPr="00000000">
        <w:rPr>
          <w:rtl w:val="0"/>
        </w:rPr>
      </w:r>
    </w:p>
  </w:footnote>
  <w:footnote w:id="187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197 .</w:t>
      </w:r>
    </w:p>
  </w:footnote>
  <w:footnote w:id="188"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4/153 .</w:t>
      </w:r>
    </w:p>
  </w:footnote>
  <w:footnote w:id="189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98 .</w:t>
      </w:r>
    </w:p>
  </w:footnote>
  <w:footnote w:id="190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18/119 .</w:t>
      </w:r>
    </w:p>
  </w:footnote>
  <w:footnote w:id="191"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192"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3/405 .</w:t>
      </w:r>
    </w:p>
  </w:footnote>
  <w:footnote w:id="193"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( 180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2/416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310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1/187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ومرآة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1/388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وأنواعها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2/231 .</w:t>
      </w:r>
      <w:r w:rsidDel="00000000" w:rsidR="00000000" w:rsidRPr="00000000">
        <w:rPr>
          <w:rtl w:val="0"/>
        </w:rPr>
      </w:r>
    </w:p>
  </w:footnote>
  <w:footnote w:id="194"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1/111 .</w:t>
      </w:r>
    </w:p>
  </w:footnote>
  <w:footnote w:id="195"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5/7 .</w:t>
      </w:r>
    </w:p>
  </w:footnote>
  <w:footnote w:id="196"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210 .</w:t>
      </w:r>
    </w:p>
  </w:footnote>
  <w:footnote w:id="197"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7/182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13/142 .</w:t>
      </w:r>
    </w:p>
  </w:footnote>
  <w:footnote w:id="198"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133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وإتحاف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303</w:t>
      </w:r>
      <w:r w:rsidDel="00000000" w:rsidR="00000000" w:rsidRPr="00000000">
        <w:rPr>
          <w:rtl w:val="0"/>
        </w:rPr>
      </w:r>
    </w:p>
  </w:footnote>
  <w:footnote w:id="199"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46 .</w:t>
      </w:r>
      <w:r w:rsidDel="00000000" w:rsidR="00000000" w:rsidRPr="00000000">
        <w:rPr>
          <w:rtl w:val="0"/>
        </w:rPr>
      </w:r>
    </w:p>
  </w:footnote>
  <w:footnote w:id="200"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46 .</w:t>
      </w:r>
      <w:r w:rsidDel="00000000" w:rsidR="00000000" w:rsidRPr="00000000">
        <w:rPr>
          <w:rtl w:val="0"/>
        </w:rPr>
      </w:r>
    </w:p>
  </w:footnote>
  <w:footnote w:id="201"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 292 .</w:t>
      </w:r>
      <w:r w:rsidDel="00000000" w:rsidR="00000000" w:rsidRPr="00000000">
        <w:rPr>
          <w:rtl w:val="0"/>
        </w:rPr>
      </w:r>
    </w:p>
  </w:footnote>
  <w:footnote w:id="202"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203"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1/209. </w:t>
      </w:r>
    </w:p>
  </w:footnote>
  <w:footnote w:id="204"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205"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2/67 .</w:t>
      </w:r>
    </w:p>
  </w:footnote>
  <w:footnote w:id="206"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92 .</w:t>
      </w:r>
    </w:p>
  </w:footnote>
  <w:footnote w:id="207"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4/388 .</w:t>
      </w:r>
    </w:p>
  </w:footnote>
  <w:footnote w:id="208">
    <w:p w:rsidR="00000000" w:rsidDel="00000000" w:rsidP="00000000" w:rsidRDefault="00000000" w:rsidRPr="00000000" w14:paraId="000001BE">
      <w:pPr>
        <w:bidi w:val="1"/>
        <w:ind w:left="663" w:right="-57" w:hanging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  ) </w:t>
        <w:tab/>
      </w:r>
      <w:r w:rsidDel="00000000" w:rsidR="00000000" w:rsidRPr="00000000">
        <w:rPr>
          <w:sz w:val="24"/>
          <w:szCs w:val="24"/>
          <w:rtl w:val="1"/>
        </w:rPr>
        <w:t xml:space="preserve">ينظر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 : 11 / 403،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بغية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الوعاة</w:t>
      </w:r>
      <w:r w:rsidDel="00000000" w:rsidR="00000000" w:rsidRPr="00000000">
        <w:rPr>
          <w:sz w:val="24"/>
          <w:szCs w:val="24"/>
          <w:rtl w:val="1"/>
        </w:rPr>
        <w:t xml:space="preserve"> : 162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المفسرين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للأدنوري</w:t>
      </w:r>
      <w:r w:rsidDel="00000000" w:rsidR="00000000" w:rsidRPr="00000000">
        <w:rPr>
          <w:sz w:val="24"/>
          <w:szCs w:val="24"/>
          <w:rtl w:val="1"/>
        </w:rPr>
        <w:t xml:space="preserve"> : 1/21 </w:t>
      </w:r>
      <w:r w:rsidDel="00000000" w:rsidR="00000000" w:rsidRPr="00000000">
        <w:rPr>
          <w:sz w:val="24"/>
          <w:szCs w:val="24"/>
          <w:rtl w:val="1"/>
        </w:rPr>
        <w:t xml:space="preserve">وفيه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( 192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 : 7 / 84،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والأعلام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4"/>
          <w:szCs w:val="24"/>
          <w:rtl w:val="1"/>
        </w:rPr>
        <w:t xml:space="preserve"> : 5 / 93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</w:footnote>
  <w:footnote w:id="209"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83 .</w:t>
      </w:r>
    </w:p>
  </w:footnote>
  <w:footnote w:id="210"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التبريزي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80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</w:p>
  </w:footnote>
  <w:footnote w:id="211"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3/585 .</w:t>
      </w:r>
    </w:p>
  </w:footnote>
  <w:footnote w:id="212"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246 .</w:t>
      </w:r>
    </w:p>
  </w:footnote>
  <w:footnote w:id="213"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ههنا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تقاتل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يمنعك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تقاتل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إدخال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75 ]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الساجدين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32 ].</w:t>
      </w:r>
      <w:r w:rsidDel="00000000" w:rsidR="00000000" w:rsidRPr="00000000">
        <w:rPr>
          <w:rtl w:val="0"/>
        </w:rPr>
      </w:r>
    </w:p>
  </w:footnote>
  <w:footnote w:id="214"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67 .</w:t>
      </w:r>
    </w:p>
  </w:footnote>
  <w:footnote w:id="215"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5/ 199 .</w:t>
      </w:r>
    </w:p>
  </w:footnote>
  <w:footnote w:id="216"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81 .</w:t>
      </w:r>
    </w:p>
  </w:footnote>
  <w:footnote w:id="217"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4/126 .</w:t>
      </w:r>
    </w:p>
  </w:footnote>
  <w:footnote w:id="218"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175 .</w:t>
      </w:r>
    </w:p>
  </w:footnote>
  <w:footnote w:id="219"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1/93 .</w:t>
      </w:r>
    </w:p>
  </w:footnote>
  <w:footnote w:id="220"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150 .</w:t>
      </w:r>
    </w:p>
  </w:footnote>
  <w:footnote w:id="221"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13/122 .</w:t>
      </w:r>
    </w:p>
  </w:footnote>
  <w:footnote w:id="222"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السدوسي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للتأليف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.1971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</w:footnote>
  <w:footnote w:id="223"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السدوسي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24"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8/71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8/443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13/258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 196 - 198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 170 – 172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والمقتنى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26/ 128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400،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مطلعة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6 . </w:t>
      </w:r>
      <w:r w:rsidDel="00000000" w:rsidR="00000000" w:rsidRPr="00000000">
        <w:rPr>
          <w:rtl w:val="0"/>
        </w:rPr>
      </w:r>
    </w:p>
  </w:footnote>
  <w:footnote w:id="225"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45 . </w:t>
      </w:r>
    </w:p>
  </w:footnote>
  <w:footnote w:id="226"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227"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1/89 . </w:t>
      </w:r>
    </w:p>
  </w:footnote>
  <w:footnote w:id="228"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151 .</w:t>
      </w:r>
    </w:p>
  </w:footnote>
  <w:footnote w:id="229"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2/425 .</w:t>
      </w:r>
    </w:p>
  </w:footnote>
  <w:footnote w:id="230"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188 . </w:t>
      </w:r>
    </w:p>
  </w:footnote>
  <w:footnote w:id="231"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2/425 .</w:t>
      </w:r>
    </w:p>
  </w:footnote>
  <w:footnote w:id="232"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48 .</w:t>
      </w:r>
    </w:p>
  </w:footnote>
  <w:footnote w:id="233"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2/671 .</w:t>
      </w:r>
    </w:p>
  </w:footnote>
  <w:footnote w:id="234"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43 .</w:t>
      </w:r>
    </w:p>
  </w:footnote>
  <w:footnote w:id="235"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3/140. </w:t>
      </w:r>
    </w:p>
  </w:footnote>
  <w:footnote w:id="236"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79. </w:t>
      </w:r>
    </w:p>
  </w:footnote>
  <w:footnote w:id="237"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3/169 .</w:t>
      </w:r>
    </w:p>
  </w:footnote>
  <w:footnote w:id="238"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الجاثية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 </w:t>
      </w:r>
    </w:p>
  </w:footnote>
  <w:footnote w:id="239"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5/267 . </w:t>
      </w:r>
    </w:p>
  </w:footnote>
  <w:footnote w:id="240"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 </w:t>
      </w:r>
    </w:p>
  </w:footnote>
  <w:footnote w:id="241"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4/426 . </w:t>
      </w:r>
    </w:p>
  </w:footnote>
  <w:footnote w:id="242"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 </w:t>
      </w:r>
    </w:p>
  </w:footnote>
  <w:footnote w:id="243"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5/261 .</w:t>
      </w:r>
    </w:p>
  </w:footnote>
  <w:footnote w:id="244"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20 .</w:t>
      </w:r>
    </w:p>
  </w:footnote>
  <w:footnote w:id="245"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8/312 .</w:t>
      </w:r>
    </w:p>
  </w:footnote>
  <w:footnote w:id="246"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23 .</w:t>
      </w:r>
    </w:p>
  </w:footnote>
  <w:footnote w:id="247"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5/226 .</w:t>
      </w:r>
    </w:p>
  </w:footnote>
  <w:footnote w:id="248"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6/257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/368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13/466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1/306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2/153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والجواهر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المضية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هامشه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اليافعي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1/349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2/500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هادي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المسترشدين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اتصال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المسندين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الملقب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بتقريب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الهادي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426 .</w:t>
      </w:r>
    </w:p>
  </w:footnote>
  <w:footnote w:id="249"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122 .</w:t>
      </w:r>
    </w:p>
  </w:footnote>
  <w:footnote w:id="250"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1/544 .</w:t>
      </w:r>
    </w:p>
  </w:footnote>
  <w:footnote w:id="251"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195 .</w:t>
      </w:r>
    </w:p>
  </w:footnote>
  <w:footnote w:id="252"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3/588 .</w:t>
      </w:r>
    </w:p>
  </w:footnote>
  <w:footnote w:id="253"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208 .</w:t>
      </w:r>
    </w:p>
  </w:footnote>
  <w:footnote w:id="254"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4/257 .</w:t>
      </w:r>
    </w:p>
  </w:footnote>
  <w:footnote w:id="255"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256"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11/256 .</w:t>
      </w:r>
    </w:p>
  </w:footnote>
  <w:footnote w:id="257"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131 .</w:t>
      </w:r>
    </w:p>
  </w:footnote>
  <w:footnote w:id="258"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9/73 .</w:t>
      </w:r>
    </w:p>
  </w:footnote>
  <w:footnote w:id="259"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260"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16/584. </w:t>
      </w:r>
    </w:p>
  </w:footnote>
  <w:footnote w:id="261"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262"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5/375 .</w:t>
      </w:r>
    </w:p>
  </w:footnote>
  <w:footnote w:id="263"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264"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7/173 .</w:t>
      </w:r>
    </w:p>
  </w:footnote>
  <w:footnote w:id="265"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266"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24/149. </w:t>
      </w:r>
    </w:p>
  </w:footnote>
  <w:footnote w:id="267"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68"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1/354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 .</w:t>
      </w:r>
    </w:p>
  </w:footnote>
  <w:footnote w:id="269"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185 .</w:t>
      </w:r>
    </w:p>
  </w:footnote>
  <w:footnote w:id="270"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5/72 .</w:t>
      </w:r>
    </w:p>
  </w:footnote>
  <w:footnote w:id="271"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282 .</w:t>
      </w:r>
    </w:p>
  </w:footnote>
  <w:footnote w:id="272"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7/100. </w:t>
      </w:r>
    </w:p>
  </w:footnote>
  <w:footnote w:id="273"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159 .</w:t>
      </w:r>
    </w:p>
  </w:footnote>
  <w:footnote w:id="274"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2/329 .</w:t>
      </w:r>
    </w:p>
  </w:footnote>
  <w:footnote w:id="275"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276"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120.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</w:footnote>
  <w:footnote w:id="277"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241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56 .</w:t>
      </w:r>
      <w:r w:rsidDel="00000000" w:rsidR="00000000" w:rsidRPr="00000000">
        <w:rPr>
          <w:rtl w:val="0"/>
        </w:rPr>
      </w:r>
    </w:p>
  </w:footnote>
  <w:footnote w:id="278"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279"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94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199 .</w:t>
      </w:r>
      <w:r w:rsidDel="00000000" w:rsidR="00000000" w:rsidRPr="00000000">
        <w:rPr>
          <w:rtl w:val="0"/>
        </w:rPr>
      </w:r>
    </w:p>
  </w:footnote>
  <w:footnote w:id="280"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85 .</w:t>
      </w:r>
    </w:p>
  </w:footnote>
  <w:footnote w:id="281"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2/297 .</w:t>
      </w:r>
    </w:p>
  </w:footnote>
  <w:footnote w:id="282"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77 .</w:t>
      </w:r>
    </w:p>
  </w:footnote>
  <w:footnote w:id="283"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/ 255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3 / 34 .</w:t>
      </w:r>
      <w:r w:rsidDel="00000000" w:rsidR="00000000" w:rsidRPr="00000000">
        <w:rPr>
          <w:rtl w:val="0"/>
        </w:rPr>
      </w:r>
    </w:p>
  </w:footnote>
  <w:footnote w:id="284"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</w:p>
  </w:footnote>
  <w:footnote w:id="285"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التتاري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1393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19/141 .</w:t>
      </w:r>
    </w:p>
  </w:footnote>
  <w:footnote w:id="286"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</w:t>
      </w:r>
    </w:p>
  </w:footnote>
  <w:footnote w:id="287"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4/354 .</w:t>
      </w:r>
    </w:p>
  </w:footnote>
  <w:footnote w:id="288"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9 .</w:t>
      </w:r>
    </w:p>
  </w:footnote>
  <w:footnote w:id="289"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254 .</w:t>
      </w:r>
      <w:r w:rsidDel="00000000" w:rsidR="00000000" w:rsidRPr="00000000">
        <w:rPr>
          <w:rtl w:val="0"/>
        </w:rPr>
      </w:r>
    </w:p>
  </w:footnote>
  <w:footnote w:id="290"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  <w:r w:rsidDel="00000000" w:rsidR="00000000" w:rsidRPr="00000000">
        <w:rPr>
          <w:rtl w:val="0"/>
        </w:rPr>
      </w:r>
    </w:p>
  </w:footnote>
  <w:footnote w:id="291"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4/394 .</w:t>
      </w:r>
    </w:p>
  </w:footnote>
  <w:footnote w:id="292"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104 .</w:t>
      </w:r>
    </w:p>
  </w:footnote>
  <w:footnote w:id="293"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الهلالي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94"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</w:t>
      </w:r>
    </w:p>
  </w:footnote>
  <w:footnote w:id="295"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17/13.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السامرائي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6/47 . </w:t>
      </w:r>
    </w:p>
  </w:footnote>
  <w:footnote w:id="296"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11 .</w:t>
      </w:r>
    </w:p>
  </w:footnote>
  <w:footnote w:id="297"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1/123.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38.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24 .</w:t>
      </w:r>
      <w:r w:rsidDel="00000000" w:rsidR="00000000" w:rsidRPr="00000000">
        <w:rPr>
          <w:rtl w:val="0"/>
        </w:rPr>
      </w:r>
    </w:p>
  </w:footnote>
  <w:footnote w:id="298"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48 .</w:t>
      </w:r>
    </w:p>
  </w:footnote>
  <w:footnote w:id="299"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6/152 .</w:t>
      </w:r>
    </w:p>
  </w:footnote>
  <w:footnote w:id="300"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301"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 61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 82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7/95 . </w:t>
      </w:r>
      <w:r w:rsidDel="00000000" w:rsidR="00000000" w:rsidRPr="00000000">
        <w:rPr>
          <w:rtl w:val="0"/>
        </w:rPr>
      </w:r>
    </w:p>
  </w:footnote>
  <w:footnote w:id="302"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11 .</w:t>
      </w:r>
    </w:p>
  </w:footnote>
  <w:footnote w:id="303"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3/ 24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6/152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1/238 .</w:t>
      </w:r>
      <w:r w:rsidDel="00000000" w:rsidR="00000000" w:rsidRPr="00000000">
        <w:rPr>
          <w:rtl w:val="0"/>
        </w:rPr>
      </w:r>
    </w:p>
  </w:footnote>
  <w:footnote w:id="304"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162 .</w:t>
      </w:r>
    </w:p>
  </w:footnote>
  <w:footnote w:id="305"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94 .</w:t>
      </w:r>
    </w:p>
  </w:footnote>
  <w:footnote w:id="306"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56 .</w:t>
      </w:r>
    </w:p>
  </w:footnote>
  <w:footnote w:id="307"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/ 555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435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