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40"/>
          <w:szCs w:val="40"/>
          <w:rtl w:val="1"/>
        </w:rPr>
        <w:t xml:space="preserve">دراسة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أبرز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التفاسير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ويشتمل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ثلاثة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مطالب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مقاتل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سليمان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سفيان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الثوري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الكتاب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المجيد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ويبدو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تحذير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الزركلي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ملحقا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الحسكاني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التنزيل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الواسطي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إشكالات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ومرآة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إجازة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افتراضه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المحدثين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بالتحري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وضبطهم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افترض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عدالتهم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الواسطي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الوضاعين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مأمون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وسمعت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سألت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متروك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ذاهب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سألت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زرعة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واسطيا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يقرأ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علينا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حديثه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اضربوا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يغفل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ويصفه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بالعدالة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مألوف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يختلف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تجميع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لمرويات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حديثية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يتعرض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للقراءات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والإعراب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كشأن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أسلوب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متأخر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التأليف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لإمام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ومتقدم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اللاحقين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4" w:right="0" w:hanging="357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اشتمل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تقريبا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بإيجاز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الفاتحة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لله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والإنس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الملائكة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وخمسمائة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لعبادته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فالرحمن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لخلقه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والرحيم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المؤمنين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والجزاء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فالهداية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التثبيت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والهداية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والتوفيق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والهداية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وعلا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والصراط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المستقيم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والنصارى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لفظة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البسملة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الخامسة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tl w:val="0"/>
        </w:rPr>
        <w:t xml:space="preserve"> .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السابعة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tl w:val="0"/>
        </w:rPr>
        <w:t xml:space="preserve"> .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والإنس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الملائكة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وخمسمائة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لعبادته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" .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بلفظ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لإنس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-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زوايا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زاوية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وخمسمائة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لعبادته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يحتاج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علما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                ( 90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( 106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الأقوال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وأن</w:t>
      </w:r>
      <w:r w:rsidDel="00000000" w:rsidR="00000000" w:rsidRPr="00000000">
        <w:rPr>
          <w:sz w:val="24"/>
          <w:szCs w:val="24"/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وهب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( 114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أحدهما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مشكوك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الفاتحة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: 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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ظلفها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وقرنها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والصفرة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السوداء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ومثله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جمالات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صفراء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سوداء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وقوله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جمالات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صفراء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المحقق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يرجح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القتبي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هاهنا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سوادها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بالفقوع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المبالغ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ويؤكد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سوادها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وح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معناه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قويناه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"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بقوة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التهلكة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الهلاك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القنوط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ومثله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وقليل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         " </w:t>
      </w:r>
      <w:r w:rsidDel="00000000" w:rsidR="00000000" w:rsidRPr="00000000">
        <w:rPr>
          <w:rtl w:val="1"/>
        </w:rPr>
        <w:t xml:space="preserve">فالكرسي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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والأرض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والكراسي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العرش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المنسوبة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بفخذها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بذنبها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عكرمة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والكلبي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معدوما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موجزا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تفصيل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 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ٍّ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فالغم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الجراح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والقتال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والغم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الأخير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يرجون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الغنيمة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موقفه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الكلام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العرش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بصيغة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التمريض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ويقال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الآلوسي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وأمثاله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بالرأي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بالكلية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فالحق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نطقت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الصحيحة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وتوهم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الجسمية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يؤبه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المتشابه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يحيطون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وفوضوا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التنزيه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والتقديس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الأحكام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الفقهية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فالملامسة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المرأة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ينقض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الوضوء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الزيدية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ناقض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للوضوء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مطلقا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الشافعية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والحنابلة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والظاهرية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والأدبية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للخلافات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للوجوه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الإعرابية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وأشعارهم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للكلمات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متكامل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يصلنا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مطبوعا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وكونها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كوفية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تقسيم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الوحدة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الموضوعية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تقسيم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مجموعتين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شملت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4 )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وشملت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5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7 )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ويختم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مرثد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((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قسمت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نصفين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شكرني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مدحني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إياي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فبلغ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خاتمتها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فليقل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تؤمن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ذنوبهم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يلاحظ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حديثان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صحيحان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دأب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ضعيفة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أيدينا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الهذيل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منصور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منصور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إبليس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أيدينا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تفاسير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يبدو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اكتفوا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أسانيدهم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مقدمة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: 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والإنس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،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رفيقان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المترحم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المتعطف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بالرحمة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مقدمة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الشهرزوري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زادلج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يعقوب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المقرئ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الهذيل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الزيداني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سليمان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مزاحم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ونافع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والزبير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الزهري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مليكة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حوشب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وعطية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ونظراؤه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ألفت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وجدت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الثلاثين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الهذيل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دعامة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الأعمش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وحماد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اليماني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وعبدالقدوس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نجيح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وأيوب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وداود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وهشام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الصغار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والكبار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يمنع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الرغم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وبغض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متصلة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مقطوعة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ملحوظ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والإنس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لمحاسبون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يملكون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نوحد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المفصل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موحدات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دلنا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أنعمت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النبيين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بالنبوة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الشريفة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ٌ    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صافية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رآها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فشددوا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أنفسهم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فشدد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((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ببقرة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لأجزأت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يستثنوا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((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تمنوا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يغصه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بريقه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عذابا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استدلالاته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استدلاله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أرشدنا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:(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عليهن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وف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يز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قراءته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فلا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عليهن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مقاتل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متتابعات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         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( </w:t>
      </w:r>
      <w:r w:rsidDel="00000000" w:rsidR="00000000" w:rsidRPr="00000000">
        <w:rPr>
          <w:rtl w:val="1"/>
        </w:rPr>
        <w:t xml:space="preserve">قالوا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تكذيبهم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بالبعث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9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بأسباب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(6)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هاتان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الآيتان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مشركي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ربيعة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والوليد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المغيرة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وأمية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والعاص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والحارث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والنضر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وعامر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البحتري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انظروا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أصنع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فتعلموا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وانظروا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أدفعهم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ومعلمنا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نستطع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نجتمع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مرحبا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اثنين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وصاحبه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الباذل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مرحبا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الباذل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مرحبا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اختصه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بالنبوة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ويقينه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ويحك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اتق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وأصلح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خليقة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وأخبثهم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خبثا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وأكثرهم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غشا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فوالله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كإيمانكم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وشهدت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كشهادتكم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فافترقوا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فانطلق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فأخبروه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sz w:val="38"/>
          <w:szCs w:val="3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منذر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لبابة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ومعاذ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وأسيد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لليهود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صدقوا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الجهال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السفهاء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sz w:val="38"/>
          <w:szCs w:val="38"/>
          <w:rtl w:val="0"/>
        </w:rPr>
        <w:t xml:space="preserve"> .</w:t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للإسرائيليات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العقيدة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والإعرابية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وأشعارهم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8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الثوري</w:t>
      </w:r>
    </w:p>
    <w:p w:rsidR="00000000" w:rsidDel="00000000" w:rsidP="00000000" w:rsidRDefault="00000000" w:rsidRPr="00000000" w14:paraId="0000009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التفاسير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الواحدة</w:t>
      </w:r>
      <w:r w:rsidDel="00000000" w:rsidR="00000000" w:rsidRPr="00000000">
        <w:rPr>
          <w:rtl w:val="1"/>
        </w:rPr>
        <w:t xml:space="preserve">  ، </w:t>
      </w:r>
      <w:r w:rsidDel="00000000" w:rsidR="00000000" w:rsidRPr="00000000">
        <w:rPr>
          <w:rtl w:val="1"/>
        </w:rPr>
        <w:t xml:space="preserve">ولعل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مقاتل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فاشتمل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سلوني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المناسك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بالقران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المصحف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فسرها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برأيه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والتابعون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يفسر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ولأجل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يعجبه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حرفا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حرفا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يعجبه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خذوا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اربعة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اعتماده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فحسبك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F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A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يتعرض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تناول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الآتية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</w:t>
      </w:r>
    </w:p>
    <w:p w:rsidR="00000000" w:rsidDel="00000000" w:rsidP="00000000" w:rsidRDefault="00000000" w:rsidRPr="00000000" w14:paraId="000000A1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البقرة</w:t>
      </w:r>
    </w:p>
    <w:p w:rsidR="00000000" w:rsidDel="00000000" w:rsidP="00000000" w:rsidRDefault="00000000" w:rsidRPr="00000000" w14:paraId="000000A2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عمران</w:t>
      </w:r>
    </w:p>
    <w:p w:rsidR="00000000" w:rsidDel="00000000" w:rsidP="00000000" w:rsidRDefault="00000000" w:rsidRPr="00000000" w14:paraId="000000A3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النساء</w:t>
      </w:r>
    </w:p>
    <w:p w:rsidR="00000000" w:rsidDel="00000000" w:rsidP="00000000" w:rsidRDefault="00000000" w:rsidRPr="00000000" w14:paraId="000000A4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المائدة</w:t>
      </w:r>
    </w:p>
    <w:p w:rsidR="00000000" w:rsidDel="00000000" w:rsidP="00000000" w:rsidRDefault="00000000" w:rsidRPr="00000000" w14:paraId="000000A5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(5)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الأنعام</w:t>
      </w:r>
    </w:p>
    <w:p w:rsidR="00000000" w:rsidDel="00000000" w:rsidP="00000000" w:rsidRDefault="00000000" w:rsidRPr="00000000" w14:paraId="000000A6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(6)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الأعراف</w:t>
      </w:r>
    </w:p>
    <w:p w:rsidR="00000000" w:rsidDel="00000000" w:rsidP="00000000" w:rsidRDefault="00000000" w:rsidRPr="00000000" w14:paraId="000000A7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(7)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الأنفال</w:t>
      </w:r>
    </w:p>
    <w:p w:rsidR="00000000" w:rsidDel="00000000" w:rsidP="00000000" w:rsidRDefault="00000000" w:rsidRPr="00000000" w14:paraId="000000A8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(8)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براءة</w:t>
      </w:r>
    </w:p>
    <w:p w:rsidR="00000000" w:rsidDel="00000000" w:rsidP="00000000" w:rsidRDefault="00000000" w:rsidRPr="00000000" w14:paraId="000000A9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(9)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</w:p>
    <w:p w:rsidR="00000000" w:rsidDel="00000000" w:rsidP="00000000" w:rsidRDefault="00000000" w:rsidRPr="00000000" w14:paraId="000000AA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(10)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هود</w:t>
      </w:r>
    </w:p>
    <w:p w:rsidR="00000000" w:rsidDel="00000000" w:rsidP="00000000" w:rsidRDefault="00000000" w:rsidRPr="00000000" w14:paraId="000000AB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(11)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يوسف</w:t>
      </w:r>
    </w:p>
    <w:p w:rsidR="00000000" w:rsidDel="00000000" w:rsidP="00000000" w:rsidRDefault="00000000" w:rsidRPr="00000000" w14:paraId="000000AC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(12)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الرعد</w:t>
      </w:r>
    </w:p>
    <w:p w:rsidR="00000000" w:rsidDel="00000000" w:rsidP="00000000" w:rsidRDefault="00000000" w:rsidRPr="00000000" w14:paraId="000000AD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(13)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إبراهيم</w:t>
      </w:r>
    </w:p>
    <w:p w:rsidR="00000000" w:rsidDel="00000000" w:rsidP="00000000" w:rsidRDefault="00000000" w:rsidRPr="00000000" w14:paraId="000000AE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(14)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الحجر</w:t>
      </w:r>
    </w:p>
    <w:p w:rsidR="00000000" w:rsidDel="00000000" w:rsidP="00000000" w:rsidRDefault="00000000" w:rsidRPr="00000000" w14:paraId="000000AF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(15)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النحل</w:t>
      </w:r>
    </w:p>
    <w:p w:rsidR="00000000" w:rsidDel="00000000" w:rsidP="00000000" w:rsidRDefault="00000000" w:rsidRPr="00000000" w14:paraId="000000B0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(16)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إسرائيل</w:t>
      </w:r>
    </w:p>
    <w:p w:rsidR="00000000" w:rsidDel="00000000" w:rsidP="00000000" w:rsidRDefault="00000000" w:rsidRPr="00000000" w14:paraId="000000B1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(17)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الكهف</w:t>
      </w:r>
    </w:p>
    <w:p w:rsidR="00000000" w:rsidDel="00000000" w:rsidP="00000000" w:rsidRDefault="00000000" w:rsidRPr="00000000" w14:paraId="000000B2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(18)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مريم</w:t>
      </w:r>
    </w:p>
    <w:p w:rsidR="00000000" w:rsidDel="00000000" w:rsidP="00000000" w:rsidRDefault="00000000" w:rsidRPr="00000000" w14:paraId="000000B3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(19)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طه</w:t>
      </w:r>
    </w:p>
    <w:p w:rsidR="00000000" w:rsidDel="00000000" w:rsidP="00000000" w:rsidRDefault="00000000" w:rsidRPr="00000000" w14:paraId="000000B4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(20)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اقترب</w:t>
      </w:r>
    </w:p>
    <w:p w:rsidR="00000000" w:rsidDel="00000000" w:rsidP="00000000" w:rsidRDefault="00000000" w:rsidRPr="00000000" w14:paraId="000000B5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(21)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الحج</w:t>
      </w:r>
    </w:p>
    <w:p w:rsidR="00000000" w:rsidDel="00000000" w:rsidP="00000000" w:rsidRDefault="00000000" w:rsidRPr="00000000" w14:paraId="000000B6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(22)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المؤمنين</w:t>
      </w:r>
    </w:p>
    <w:p w:rsidR="00000000" w:rsidDel="00000000" w:rsidP="00000000" w:rsidRDefault="00000000" w:rsidRPr="00000000" w14:paraId="000000B7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(23)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النور</w:t>
      </w:r>
    </w:p>
    <w:p w:rsidR="00000000" w:rsidDel="00000000" w:rsidP="00000000" w:rsidRDefault="00000000" w:rsidRPr="00000000" w14:paraId="000000B8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(24)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الفرقان</w:t>
      </w:r>
    </w:p>
    <w:p w:rsidR="00000000" w:rsidDel="00000000" w:rsidP="00000000" w:rsidRDefault="00000000" w:rsidRPr="00000000" w14:paraId="000000B9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(25)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الشعراء</w:t>
      </w:r>
    </w:p>
    <w:p w:rsidR="00000000" w:rsidDel="00000000" w:rsidP="00000000" w:rsidRDefault="00000000" w:rsidRPr="00000000" w14:paraId="000000BA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(26)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النمل</w:t>
      </w:r>
    </w:p>
    <w:p w:rsidR="00000000" w:rsidDel="00000000" w:rsidP="00000000" w:rsidRDefault="00000000" w:rsidRPr="00000000" w14:paraId="000000BB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(27)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القصص</w:t>
      </w:r>
    </w:p>
    <w:p w:rsidR="00000000" w:rsidDel="00000000" w:rsidP="00000000" w:rsidRDefault="00000000" w:rsidRPr="00000000" w14:paraId="000000BC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(28)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العنكبوت</w:t>
      </w:r>
    </w:p>
    <w:p w:rsidR="00000000" w:rsidDel="00000000" w:rsidP="00000000" w:rsidRDefault="00000000" w:rsidRPr="00000000" w14:paraId="000000BD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(29)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الروم</w:t>
      </w:r>
    </w:p>
    <w:p w:rsidR="00000000" w:rsidDel="00000000" w:rsidP="00000000" w:rsidRDefault="00000000" w:rsidRPr="00000000" w14:paraId="000000BE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(30)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لقمان</w:t>
      </w:r>
    </w:p>
    <w:p w:rsidR="00000000" w:rsidDel="00000000" w:rsidP="00000000" w:rsidRDefault="00000000" w:rsidRPr="00000000" w14:paraId="000000BF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(31)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السجدة</w:t>
      </w:r>
    </w:p>
    <w:p w:rsidR="00000000" w:rsidDel="00000000" w:rsidP="00000000" w:rsidRDefault="00000000" w:rsidRPr="00000000" w14:paraId="000000C0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(32)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الأحزاب</w:t>
      </w:r>
    </w:p>
    <w:p w:rsidR="00000000" w:rsidDel="00000000" w:rsidP="00000000" w:rsidRDefault="00000000" w:rsidRPr="00000000" w14:paraId="000000C1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(33)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سبأ</w:t>
      </w:r>
    </w:p>
    <w:p w:rsidR="00000000" w:rsidDel="00000000" w:rsidP="00000000" w:rsidRDefault="00000000" w:rsidRPr="00000000" w14:paraId="000000C2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(34)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الملائكة</w:t>
      </w:r>
    </w:p>
    <w:p w:rsidR="00000000" w:rsidDel="00000000" w:rsidP="00000000" w:rsidRDefault="00000000" w:rsidRPr="00000000" w14:paraId="000000C3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(35)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</w:t>
      </w:r>
    </w:p>
    <w:p w:rsidR="00000000" w:rsidDel="00000000" w:rsidP="00000000" w:rsidRDefault="00000000" w:rsidRPr="00000000" w14:paraId="000000C4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(36)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الصافات</w:t>
      </w:r>
    </w:p>
    <w:p w:rsidR="00000000" w:rsidDel="00000000" w:rsidP="00000000" w:rsidRDefault="00000000" w:rsidRPr="00000000" w14:paraId="000000C5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(37)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</w:t>
      </w:r>
    </w:p>
    <w:p w:rsidR="00000000" w:rsidDel="00000000" w:rsidP="00000000" w:rsidRDefault="00000000" w:rsidRPr="00000000" w14:paraId="000000C6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(38)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الزمر</w:t>
      </w:r>
    </w:p>
    <w:p w:rsidR="00000000" w:rsidDel="00000000" w:rsidP="00000000" w:rsidRDefault="00000000" w:rsidRPr="00000000" w14:paraId="000000C7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(39)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</w:t>
      </w:r>
    </w:p>
    <w:p w:rsidR="00000000" w:rsidDel="00000000" w:rsidP="00000000" w:rsidRDefault="00000000" w:rsidRPr="00000000" w14:paraId="000000C8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(40)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السجدة</w:t>
      </w:r>
    </w:p>
    <w:p w:rsidR="00000000" w:rsidDel="00000000" w:rsidP="00000000" w:rsidRDefault="00000000" w:rsidRPr="00000000" w14:paraId="000000C9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(41)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عسق</w:t>
      </w:r>
    </w:p>
    <w:p w:rsidR="00000000" w:rsidDel="00000000" w:rsidP="00000000" w:rsidRDefault="00000000" w:rsidRPr="00000000" w14:paraId="000000CA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(42)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الزخرف</w:t>
      </w:r>
    </w:p>
    <w:p w:rsidR="00000000" w:rsidDel="00000000" w:rsidP="00000000" w:rsidRDefault="00000000" w:rsidRPr="00000000" w14:paraId="000000CB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(43)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الجاثية</w:t>
      </w:r>
    </w:p>
    <w:p w:rsidR="00000000" w:rsidDel="00000000" w:rsidP="00000000" w:rsidRDefault="00000000" w:rsidRPr="00000000" w14:paraId="000000CC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(44)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الأحقاف</w:t>
      </w:r>
    </w:p>
    <w:p w:rsidR="00000000" w:rsidDel="00000000" w:rsidP="00000000" w:rsidRDefault="00000000" w:rsidRPr="00000000" w14:paraId="000000CD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(45)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الفتح</w:t>
      </w:r>
    </w:p>
    <w:p w:rsidR="00000000" w:rsidDel="00000000" w:rsidP="00000000" w:rsidRDefault="00000000" w:rsidRPr="00000000" w14:paraId="000000CE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(46)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الحجرات</w:t>
      </w:r>
    </w:p>
    <w:p w:rsidR="00000000" w:rsidDel="00000000" w:rsidP="00000000" w:rsidRDefault="00000000" w:rsidRPr="00000000" w14:paraId="000000CF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(47)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</w:p>
    <w:p w:rsidR="00000000" w:rsidDel="00000000" w:rsidP="00000000" w:rsidRDefault="00000000" w:rsidRPr="00000000" w14:paraId="000000D0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(48)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الذاريات</w:t>
      </w:r>
    </w:p>
    <w:p w:rsidR="00000000" w:rsidDel="00000000" w:rsidP="00000000" w:rsidRDefault="00000000" w:rsidRPr="00000000" w14:paraId="000000D1">
      <w:pPr>
        <w:widowControl w:val="0"/>
        <w:bidi w:val="1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(49)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D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الترتيب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العثماني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وسقط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الدخان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D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النهج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المتعارف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المتأخرة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المتقدمة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أخرى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4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D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( 911 )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وأكثرها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مفسري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D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رفعت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الصديق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الخدري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والزبير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العوام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الغفاري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والبراء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عازب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وجابر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وخباب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وعقبة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أجمعين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أمهات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عائشة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D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منقطعة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رزين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والشعبي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وعطاء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وطاوس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وشريح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مزاحم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وعلقمة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النخعي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وحبيب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ومسروق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القرظي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الهيثم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وتحمل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تلميذه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النهدي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والترمذى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وطائفة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الرزاق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وقبيصة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يصحف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وزهير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العجلي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وضعفه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بندار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والترمذي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وذكره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الثقات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يخطئ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خزيمة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بالقوى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يصحف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صغار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التاسعة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وحديثه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المتابعات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لسبع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الآخرة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( 220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( 226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بالمأثور</w:t>
      </w:r>
      <w:r w:rsidDel="00000000" w:rsidR="00000000" w:rsidRPr="00000000">
        <w:rPr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والتفصيل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وتوضح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نصوص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B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شواهد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الشواهد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الواردة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D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الأحوص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زهير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الإصلاح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وءا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سوءا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تصيبك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اللاواء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تجزون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المرويات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الكرام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حجارة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كبريت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كبريت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يخلقه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دخل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يوصي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تبارك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فنهاه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الوصية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E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نجيح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تطيعون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الهيثم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السحاب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المطر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الواردة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E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خرجت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تباشر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تبارك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مواقيت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وديونهم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وفطرهم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ونحرهم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نسائهم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E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مواضع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يقرءونها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فأزلهما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الشياطين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E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يقرؤها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اعتمر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جناح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يطوف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F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بأسباب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اتخذنا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مقام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بشهرين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المقدس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بصره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F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مسروق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الضحى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المشركون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الإسرائيليات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بالدليل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والفقهية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المذاهب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والغوية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وأشعارهم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بالمآثور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المآثور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الاغلب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F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172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القريشي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بزار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114 .</w:t>
      </w:r>
    </w:p>
  </w:footnote>
  <w:footnote w:id="2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337 .</w:t>
      </w:r>
    </w:p>
  </w:footnote>
  <w:footnote w:id="3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20/89 .</w:t>
      </w:r>
    </w:p>
  </w:footnote>
  <w:footnote w:id="4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337 .</w:t>
      </w:r>
    </w:p>
  </w:footnote>
  <w:footnote w:id="5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6/230. </w:t>
      </w:r>
    </w:p>
  </w:footnote>
  <w:footnote w:id="6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17 .</w:t>
      </w:r>
    </w:p>
  </w:footnote>
  <w:footnote w:id="7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40 .</w:t>
      </w:r>
    </w:p>
  </w:footnote>
  <w:footnote w:id="8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مرفوعا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1/41 .</w:t>
      </w:r>
    </w:p>
  </w:footnote>
  <w:footnote w:id="9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 .</w:t>
      </w:r>
    </w:p>
  </w:footnote>
  <w:footnote w:id="10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1/45 .</w:t>
      </w:r>
    </w:p>
  </w:footnote>
  <w:footnote w:id="11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47 .</w:t>
      </w:r>
    </w:p>
  </w:footnote>
  <w:footnote w:id="12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المرسلات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33 .</w:t>
      </w:r>
    </w:p>
  </w:footnote>
  <w:footnote w:id="13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</w:footnote>
  <w:footnote w:id="14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1/97 .</w:t>
      </w:r>
    </w:p>
  </w:footnote>
  <w:footnote w:id="15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87 .</w:t>
      </w:r>
    </w:p>
  </w:footnote>
  <w:footnote w:id="16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الذاريات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47 .</w:t>
      </w:r>
    </w:p>
  </w:footnote>
  <w:footnote w:id="17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48 .</w:t>
      </w:r>
    </w:p>
  </w:footnote>
  <w:footnote w:id="18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195 .</w:t>
      </w:r>
    </w:p>
  </w:footnote>
  <w:footnote w:id="19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58 .</w:t>
      </w:r>
    </w:p>
  </w:footnote>
  <w:footnote w:id="20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255 . </w:t>
      </w:r>
    </w:p>
  </w:footnote>
  <w:footnote w:id="21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65 .</w:t>
      </w:r>
    </w:p>
  </w:footnote>
  <w:footnote w:id="22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73 .</w:t>
      </w:r>
    </w:p>
  </w:footnote>
  <w:footnote w:id="23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46 .</w:t>
      </w:r>
    </w:p>
  </w:footnote>
  <w:footnote w:id="24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1/122 .</w:t>
      </w:r>
    </w:p>
  </w:footnote>
  <w:footnote w:id="25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153 .</w:t>
      </w:r>
    </w:p>
  </w:footnote>
  <w:footnote w:id="26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74 .</w:t>
      </w:r>
    </w:p>
  </w:footnote>
  <w:footnote w:id="27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2/757 .</w:t>
      </w:r>
    </w:p>
  </w:footnote>
  <w:footnote w:id="28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43 .</w:t>
      </w:r>
    </w:p>
  </w:footnote>
  <w:footnote w:id="29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79 .</w:t>
      </w:r>
    </w:p>
  </w:footnote>
  <w:footnote w:id="30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الزخار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لمذاهب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ألأمصار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للمهدي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2/94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1/244 .</w:t>
      </w:r>
      <w:r w:rsidDel="00000000" w:rsidR="00000000" w:rsidRPr="00000000">
        <w:rPr>
          <w:rtl w:val="0"/>
        </w:rPr>
      </w:r>
    </w:p>
  </w:footnote>
  <w:footnote w:id="31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1973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 .</w:t>
      </w:r>
      <w:r w:rsidDel="00000000" w:rsidR="00000000" w:rsidRPr="00000000">
        <w:rPr>
          <w:rtl w:val="0"/>
        </w:rPr>
      </w:r>
    </w:p>
  </w:footnote>
  <w:footnote w:id="32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1/211 .</w:t>
      </w:r>
    </w:p>
  </w:footnote>
  <w:footnote w:id="33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1/246 .</w:t>
      </w:r>
    </w:p>
  </w:footnote>
  <w:footnote w:id="34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24. </w:t>
      </w:r>
    </w:p>
  </w:footnote>
  <w:footnote w:id="35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36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306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( 2945 ) .</w:t>
      </w:r>
      <w:r w:rsidDel="00000000" w:rsidR="00000000" w:rsidRPr="00000000">
        <w:rPr>
          <w:rtl w:val="0"/>
        </w:rPr>
      </w:r>
    </w:p>
  </w:footnote>
  <w:footnote w:id="37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1/270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( 747 )،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1/307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( 410 ) .</w:t>
      </w:r>
    </w:p>
  </w:footnote>
  <w:footnote w:id="38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24 . </w:t>
      </w:r>
    </w:p>
  </w:footnote>
  <w:footnote w:id="39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87 .</w:t>
      </w:r>
    </w:p>
  </w:footnote>
  <w:footnote w:id="40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27 .</w:t>
      </w:r>
    </w:p>
  </w:footnote>
  <w:footnote w:id="41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42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24 .</w:t>
      </w:r>
    </w:p>
  </w:footnote>
  <w:footnote w:id="43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21 . </w:t>
      </w:r>
    </w:p>
  </w:footnote>
  <w:footnote w:id="44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الذاريات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45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275 .</w:t>
      </w:r>
    </w:p>
  </w:footnote>
  <w:footnote w:id="46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24 .</w:t>
      </w:r>
    </w:p>
  </w:footnote>
  <w:footnote w:id="47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53 .</w:t>
      </w:r>
    </w:p>
  </w:footnote>
  <w:footnote w:id="48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الانفطار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24 .</w:t>
      </w:r>
    </w:p>
  </w:footnote>
  <w:footnote w:id="49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 </w:t>
      </w:r>
    </w:p>
  </w:footnote>
  <w:footnote w:id="50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25 .</w:t>
      </w:r>
    </w:p>
  </w:footnote>
  <w:footnote w:id="51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26 .</w:t>
      </w:r>
    </w:p>
  </w:footnote>
  <w:footnote w:id="52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69 .</w:t>
      </w:r>
    </w:p>
  </w:footnote>
  <w:footnote w:id="53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56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الإلباس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2/276 .</w:t>
      </w:r>
    </w:p>
  </w:footnote>
  <w:footnote w:id="54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96 .</w:t>
      </w:r>
    </w:p>
  </w:footnote>
  <w:footnote w:id="55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66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الزيلعي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         1414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75 .</w:t>
      </w:r>
    </w:p>
  </w:footnote>
  <w:footnote w:id="56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178 .</w:t>
      </w:r>
    </w:p>
  </w:footnote>
  <w:footnote w:id="57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95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( 4509 )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بعبدالرؤوف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مجتبى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1/216 . </w:t>
      </w:r>
    </w:p>
  </w:footnote>
  <w:footnote w:id="58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59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 .</w:t>
      </w:r>
    </w:p>
  </w:footnote>
  <w:footnote w:id="60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234 .</w:t>
      </w:r>
    </w:p>
  </w:footnote>
  <w:footnote w:id="61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62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240 .</w:t>
      </w:r>
    </w:p>
  </w:footnote>
  <w:footnote w:id="63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64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89 .</w:t>
      </w:r>
    </w:p>
  </w:footnote>
  <w:footnote w:id="65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1/361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4/12 .</w:t>
      </w:r>
      <w:r w:rsidDel="00000000" w:rsidR="00000000" w:rsidRPr="00000000">
        <w:rPr>
          <w:rtl w:val="0"/>
        </w:rPr>
      </w:r>
    </w:p>
  </w:footnote>
  <w:footnote w:id="66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12 .</w:t>
      </w:r>
    </w:p>
  </w:footnote>
  <w:footnote w:id="67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1/338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68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 </w:t>
      </w:r>
    </w:p>
  </w:footnote>
  <w:footnote w:id="69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32 .</w:t>
      </w:r>
    </w:p>
  </w:footnote>
  <w:footnote w:id="70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8 .</w:t>
      </w:r>
    </w:p>
  </w:footnote>
  <w:footnote w:id="71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33 .</w:t>
      </w:r>
    </w:p>
  </w:footnote>
  <w:footnote w:id="72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</w:t>
      </w:r>
    </w:p>
  </w:footnote>
  <w:footnote w:id="73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34 .</w:t>
      </w:r>
    </w:p>
  </w:footnote>
  <w:footnote w:id="74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2/224 .</w:t>
      </w:r>
    </w:p>
  </w:footnote>
  <w:footnote w:id="75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2/224 .</w:t>
      </w:r>
    </w:p>
  </w:footnote>
  <w:footnote w:id="76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4/96 .</w:t>
      </w:r>
    </w:p>
  </w:footnote>
  <w:footnote w:id="77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1/91 .</w:t>
      </w:r>
    </w:p>
  </w:footnote>
  <w:footnote w:id="78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32 .</w:t>
      </w:r>
    </w:p>
  </w:footnote>
  <w:footnote w:id="79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32 .</w:t>
      </w:r>
    </w:p>
  </w:footnote>
  <w:footnote w:id="80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32 .</w:t>
      </w:r>
    </w:p>
  </w:footnote>
  <w:footnote w:id="81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7/295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القشقري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265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2/305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قلعجي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4/167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8/163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المياديني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الزرقاء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10/137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: 6/562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2/554 .</w:t>
      </w:r>
    </w:p>
  </w:footnote>
  <w:footnote w:id="82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1/152 .</w:t>
      </w:r>
    </w:p>
  </w:footnote>
  <w:footnote w:id="83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 </w:t>
      </w:r>
    </w:p>
  </w:footnote>
  <w:footnote w:id="84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44 .</w:t>
      </w:r>
    </w:p>
  </w:footnote>
  <w:footnote w:id="85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123 .</w:t>
      </w:r>
    </w:p>
  </w:footnote>
  <w:footnote w:id="86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97 . </w:t>
      </w:r>
    </w:p>
  </w:footnote>
  <w:footnote w:id="87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88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42 . </w:t>
      </w:r>
    </w:p>
  </w:footnote>
  <w:footnote w:id="89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44 .</w:t>
      </w:r>
    </w:p>
  </w:footnote>
  <w:footnote w:id="90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180. </w:t>
      </w:r>
    </w:p>
  </w:footnote>
  <w:footnote w:id="91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56. </w:t>
      </w:r>
    </w:p>
  </w:footnote>
  <w:footnote w:id="92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93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42 .</w:t>
      </w:r>
    </w:p>
  </w:footnote>
  <w:footnote w:id="94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</w:t>
      </w:r>
    </w:p>
  </w:footnote>
  <w:footnote w:id="95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41 . </w:t>
      </w:r>
    </w:p>
  </w:footnote>
  <w:footnote w:id="96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187 .</w:t>
      </w:r>
    </w:p>
  </w:footnote>
  <w:footnote w:id="97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58 .</w:t>
      </w:r>
    </w:p>
  </w:footnote>
  <w:footnote w:id="98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189 .</w:t>
      </w:r>
    </w:p>
  </w:footnote>
  <w:footnote w:id="99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58 .</w:t>
      </w:r>
    </w:p>
  </w:footnote>
  <w:footnote w:id="100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36 .</w:t>
      </w:r>
    </w:p>
  </w:footnote>
  <w:footnote w:id="101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44 . </w:t>
      </w:r>
    </w:p>
  </w:footnote>
  <w:footnote w:id="102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45 .</w:t>
      </w:r>
    </w:p>
  </w:footnote>
  <w:footnote w:id="103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158 . </w:t>
      </w:r>
    </w:p>
  </w:footnote>
  <w:footnote w:id="104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53 .</w:t>
      </w:r>
    </w:p>
  </w:footnote>
  <w:footnote w:id="105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49 .</w:t>
      </w:r>
    </w:p>
  </w:footnote>
  <w:footnote w:id="106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143 . </w:t>
      </w:r>
    </w:p>
  </w:footnote>
  <w:footnote w:id="107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51 .</w:t>
      </w:r>
    </w:p>
  </w:footnote>
  <w:footnote w:id="108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163 .</w:t>
      </w:r>
    </w:p>
  </w:footnote>
  <w:footnote w:id="109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164 .</w:t>
      </w:r>
    </w:p>
  </w:footnote>
  <w:footnote w:id="110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54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