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contextualSpacing w:val="0"/>
        <w:jc w:val="center"/>
        <w:rPr/>
      </w:pPr>
      <w:r w:rsidDel="00000000" w:rsidR="00000000" w:rsidRPr="00000000">
        <w:rPr>
          <w:sz w:val="96"/>
          <w:szCs w:val="96"/>
          <w:rtl w:val="0"/>
        </w:rPr>
        <w:t xml:space="preserve">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bidi w:val="1"/>
        <w:contextualSpacing w:val="0"/>
        <w:rPr/>
      </w:pP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وفيه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ثلاثة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مباحث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ل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النشاط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الفكري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وأثره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تفسير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</w:p>
    <w:p w:rsidR="00000000" w:rsidDel="00000000" w:rsidP="00000000" w:rsidRDefault="00000000" w:rsidRPr="00000000" w14:paraId="00000009">
      <w:pPr>
        <w:pStyle w:val="Heading2"/>
        <w:keepNext w:val="0"/>
        <w:bidi w:val="1"/>
        <w:contextualSpacing w:val="0"/>
        <w:rPr/>
      </w:pPr>
      <w:r w:rsidDel="00000000" w:rsidR="00000000" w:rsidRPr="00000000">
        <w:rPr>
          <w:rtl w:val="1"/>
        </w:rPr>
        <w:t xml:space="preserve">الم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ان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</w:p>
    <w:p w:rsidR="00000000" w:rsidDel="00000000" w:rsidP="00000000" w:rsidRDefault="00000000" w:rsidRPr="00000000" w14:paraId="0000000A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ح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</w:t>
      </w:r>
      <w:r w:rsidDel="00000000" w:rsidR="00000000" w:rsidRPr="00000000">
        <w:rPr>
          <w:b w:val="1"/>
          <w:rtl w:val="1"/>
        </w:rPr>
        <w:t xml:space="preserve">َّ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 : </w:t>
      </w:r>
      <w:r w:rsidDel="00000000" w:rsidR="00000000" w:rsidRPr="00000000">
        <w:rPr>
          <w:b w:val="1"/>
          <w:rtl w:val="1"/>
        </w:rPr>
        <w:t xml:space="preserve">دراسة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أبرز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التفاسير</w:t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و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ل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15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النشاط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الفكري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العام</w:t>
      </w:r>
      <w:r w:rsidDel="00000000" w:rsidR="00000000" w:rsidRPr="00000000">
        <w:rPr>
          <w:sz w:val="40"/>
          <w:szCs w:val="40"/>
          <w:rtl w:val="1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وأثره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تفسير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القرآن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1"/>
        </w:rPr>
        <w:t xml:space="preserve">أولا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النشاط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الفكري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الفكرية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ومعارف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ومؤلفات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مسبوقة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وتنوعه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مظاهر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الترجمة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والنشر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فنقلت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فترجمت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الفلسفة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اليونانية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فروعها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ومنطق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وطبيعة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وكيمياء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ونجوم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ورياضة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وترجمت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الرياضة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الهندية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والتنجيم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الهندي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الفارسية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واليونانية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والرومانية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وغيرهم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الإلهيات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اليونانية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اليهودية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والنصرانية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والمجوسية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أتباع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الديانات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توسعا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كبيرا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تركت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آثارها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والتشريع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المصطلحات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الفلسفية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والمنطقية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الظاهرة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متساوقة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المجتمع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العباسي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المعارف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المبتكرة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الهجري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داود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الدينوري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282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ألف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موسوعة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نباتية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حوالي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ستة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أجزاء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أربعة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موضوع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عامة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واثنان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النباتات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مرتبة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حروف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المعجم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أجاد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وصف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النباتات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وكذلك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ترتيب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الأسماء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النباتية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الحروف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الهجائية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الكتاب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يصل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إلينا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كاملا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الباحثين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جهود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العربية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القدماء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الجانب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يغني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إعادته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1B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tl w:val="1"/>
        </w:rPr>
        <w:t xml:space="preserve">وشهد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انحسار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الاعتزال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استفحلت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المتوكل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247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وارتفاع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شأن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علماء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الذين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أصابهم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الظلم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والاضطهاد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أيدي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امتحانهم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ولاقوا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صنوف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والهوان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تعذيب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الإمام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ومحمد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نوح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المأمون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إصرارهما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بأن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كلام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نزيد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شيئا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مظهر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مظاهر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الاضطهاد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فلما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أزيحت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محنة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بخلق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عهد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المتوكل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الفعل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مجراه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الطبيعي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وزاد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تعصب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وخصومتهم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ولأهل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عامة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بسبب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تعضيد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آرائهم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وحمل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اعتناقها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الولاة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والحكام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كانوا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يميلون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وأصحابه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أمور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الفقه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وقد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استفحلت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الخصومة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المحنة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زمن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المتوكل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وانقلب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الاضطهاد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العكس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واندفع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التعصب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والوقيعة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خصومهم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المعتزلة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وأهل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أئمتهم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السابقين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حنيفة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وأصحابه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1C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واتهموهم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بشتى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التهم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الشنيعة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كالكذب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رسول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الله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وسلم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ضعف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الإرجاء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</w:t>
      </w:r>
    </w:p>
    <w:p w:rsidR="00000000" w:rsidDel="00000000" w:rsidP="00000000" w:rsidRDefault="00000000" w:rsidRPr="00000000" w14:paraId="0000001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يقول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الأستاذ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الخولي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: "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فبامتداد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الناحية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الاعتقادية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الدين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وعدم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ملاءمة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للإيمان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المستقر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انعكست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الرأي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ظلال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قاتمة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نفرت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منه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وشوهت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صورته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فوجهت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عبارات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الذم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والتنقص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rtl w:val="0"/>
        </w:rPr>
        <w:t xml:space="preserve"> . </w:t>
      </w:r>
    </w:p>
    <w:p w:rsidR="00000000" w:rsidDel="00000000" w:rsidP="00000000" w:rsidRDefault="00000000" w:rsidRPr="00000000" w14:paraId="0000001E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يظهر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أثر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الخلافات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المذهبية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الحركة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الفكرية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أكان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سلبا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بتفريق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الصف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إيجابا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بتشجيع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حركة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التأليف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العلامات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البارزة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ظهور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المدارس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وانتشارها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فقد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عرفت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المدارس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بالفقه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علوم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الحديث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الثالث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الهجري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وكانت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المدارس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تتخذ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المساجد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مكانا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لها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وتطوره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مصانع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وكثرتها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أثمانها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أداوت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وانتشار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بدوره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المكتبات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والعامة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اليعقوبي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المؤرخ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278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الوراقين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مجيدون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الجاحظ</w:t>
      </w:r>
      <w:r w:rsidDel="00000000" w:rsidR="00000000" w:rsidRPr="00000000">
        <w:rPr>
          <w:rtl w:val="1"/>
        </w:rPr>
        <w:t xml:space="preserve">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يكتري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دكاكين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الوراقين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للنظر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1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ثانيا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جهود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العراقيين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الكريم</w:t>
      </w:r>
      <w:r w:rsidDel="00000000" w:rsidR="00000000" w:rsidRPr="00000000">
        <w:rPr>
          <w:b w:val="1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1"/>
        </w:rPr>
        <w:t xml:space="preserve">تنامت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البارزة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وتفسيره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الجهود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2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1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العدد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b w:val="1"/>
          <w:rtl w:val="0"/>
        </w:rPr>
        <w:t xml:space="preserve"> ،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224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الأصبهاني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6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نقاط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المصحف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2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الإبداع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المبدعين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السجستاني</w:t>
      </w:r>
      <w:r w:rsidDel="00000000" w:rsidR="00000000" w:rsidRPr="00000000">
        <w:rPr>
          <w:rtl w:val="1"/>
        </w:rPr>
        <w:t xml:space="preserve"> ،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النحوي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النقط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يحتوي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جداول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ودارات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المتأثرين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بمنهج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وطريقته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نقاط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جهودهم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</w:t>
      </w:r>
      <w:r w:rsidDel="00000000" w:rsidR="00000000" w:rsidRPr="00000000">
        <w:rPr>
          <w:rtl w:val="1"/>
        </w:rPr>
        <w:t xml:space="preserve">ّ :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اليزيدي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202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)،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تلاميذ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العلاء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154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أبناؤه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الثلاثة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225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237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227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 </w:t>
      </w:r>
      <w:r w:rsidDel="00000000" w:rsidR="00000000" w:rsidRPr="00000000">
        <w:rPr>
          <w:rtl w:val="1"/>
        </w:rPr>
        <w:t xml:space="preserve">وكل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هؤلاء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النقط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ومنهم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الزيادي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249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والشكل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A">
      <w:pPr>
        <w:widowControl w:val="0"/>
        <w:bidi w:val="1"/>
        <w:contextualSpacing w:val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المصحف</w:t>
      </w:r>
      <w:r w:rsidDel="00000000" w:rsidR="00000000" w:rsidRPr="00000000">
        <w:rPr>
          <w:b w:val="1"/>
          <w:rtl w:val="1"/>
        </w:rPr>
        <w:t xml:space="preserve"> 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هجاء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المصحف</w:t>
      </w:r>
      <w:r w:rsidDel="00000000" w:rsidR="00000000" w:rsidRPr="00000000">
        <w:rPr>
          <w:rtl w:val="0"/>
        </w:rPr>
        <w:t xml:space="preserve"> ،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التنزيل</w:t>
      </w:r>
      <w:r w:rsidDel="00000000" w:rsidR="00000000" w:rsidRPr="00000000">
        <w:rPr>
          <w:rtl w:val="0"/>
        </w:rPr>
        <w:t xml:space="preserve"> : </w:t>
      </w:r>
    </w:p>
    <w:p w:rsidR="00000000" w:rsidDel="00000000" w:rsidP="00000000" w:rsidRDefault="00000000" w:rsidRPr="00000000" w14:paraId="0000002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الفراء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207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بكتابه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والبصرة</w:t>
      </w:r>
      <w:r w:rsidDel="00000000" w:rsidR="00000000" w:rsidRPr="00000000">
        <w:rPr>
          <w:rtl w:val="1"/>
        </w:rPr>
        <w:t xml:space="preserve">              </w:t>
      </w:r>
      <w:r w:rsidDel="00000000" w:rsidR="00000000" w:rsidRPr="00000000">
        <w:rPr>
          <w:rtl w:val="1"/>
        </w:rPr>
        <w:t xml:space="preserve">والشام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المصاحف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علي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بن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محمد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بن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عبد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الله</w:t>
      </w:r>
      <w:r w:rsidDel="00000000" w:rsidR="00000000" w:rsidRPr="00000000">
        <w:rPr>
          <w:sz w:val="20"/>
          <w:szCs w:val="20"/>
          <w:rtl w:val="1"/>
        </w:rPr>
        <w:t xml:space="preserve"> ، </w:t>
      </w:r>
      <w:r w:rsidDel="00000000" w:rsidR="00000000" w:rsidRPr="00000000">
        <w:rPr>
          <w:sz w:val="20"/>
          <w:szCs w:val="20"/>
          <w:rtl w:val="1"/>
        </w:rPr>
        <w:t xml:space="preserve">أبو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الحسن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المدائني</w:t>
      </w:r>
      <w:r w:rsidDel="00000000" w:rsidR="00000000" w:rsidRPr="00000000">
        <w:rPr>
          <w:sz w:val="20"/>
          <w:szCs w:val="20"/>
          <w:rtl w:val="1"/>
        </w:rPr>
        <w:t xml:space="preserve"> ، ( </w:t>
      </w:r>
      <w:r w:rsidDel="00000000" w:rsidR="00000000" w:rsidRPr="00000000">
        <w:rPr>
          <w:sz w:val="20"/>
          <w:szCs w:val="20"/>
          <w:rtl w:val="1"/>
        </w:rPr>
        <w:t xml:space="preserve">ويقال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المدايني</w:t>
      </w:r>
      <w:r w:rsidDel="00000000" w:rsidR="00000000" w:rsidRPr="00000000">
        <w:rPr>
          <w:sz w:val="20"/>
          <w:szCs w:val="20"/>
          <w:rtl w:val="1"/>
        </w:rPr>
        <w:t xml:space="preserve"> ) </w:t>
      </w:r>
      <w:r w:rsidDel="00000000" w:rsidR="00000000" w:rsidRPr="00000000">
        <w:rPr>
          <w:sz w:val="20"/>
          <w:szCs w:val="20"/>
          <w:rtl w:val="1"/>
        </w:rPr>
        <w:t xml:space="preserve">وهو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رواية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ومؤرخ</w:t>
      </w:r>
      <w:r w:rsidDel="00000000" w:rsidR="00000000" w:rsidRPr="00000000">
        <w:rPr>
          <w:sz w:val="20"/>
          <w:szCs w:val="20"/>
          <w:rtl w:val="1"/>
        </w:rPr>
        <w:t xml:space="preserve"> ، </w:t>
      </w:r>
      <w:r w:rsidDel="00000000" w:rsidR="00000000" w:rsidRPr="00000000">
        <w:rPr>
          <w:sz w:val="20"/>
          <w:szCs w:val="20"/>
          <w:rtl w:val="1"/>
        </w:rPr>
        <w:t xml:space="preserve">كثير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التصانيف</w:t>
      </w:r>
      <w:r w:rsidDel="00000000" w:rsidR="00000000" w:rsidRPr="00000000">
        <w:rPr>
          <w:sz w:val="20"/>
          <w:szCs w:val="20"/>
          <w:rtl w:val="1"/>
        </w:rPr>
        <w:t xml:space="preserve"> ، </w:t>
      </w:r>
      <w:r w:rsidDel="00000000" w:rsidR="00000000" w:rsidRPr="00000000">
        <w:rPr>
          <w:sz w:val="20"/>
          <w:szCs w:val="20"/>
          <w:rtl w:val="1"/>
        </w:rPr>
        <w:t xml:space="preserve">من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أهل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البصرة</w:t>
      </w:r>
      <w:r w:rsidDel="00000000" w:rsidR="00000000" w:rsidRPr="00000000">
        <w:rPr>
          <w:sz w:val="20"/>
          <w:szCs w:val="20"/>
          <w:rtl w:val="1"/>
        </w:rPr>
        <w:t xml:space="preserve"> . </w:t>
      </w:r>
      <w:r w:rsidDel="00000000" w:rsidR="00000000" w:rsidRPr="00000000">
        <w:rPr>
          <w:sz w:val="20"/>
          <w:szCs w:val="20"/>
          <w:rtl w:val="1"/>
        </w:rPr>
        <w:t xml:space="preserve">سكن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المدائن</w:t>
      </w:r>
      <w:r w:rsidDel="00000000" w:rsidR="00000000" w:rsidRPr="00000000">
        <w:rPr>
          <w:sz w:val="20"/>
          <w:szCs w:val="20"/>
          <w:rtl w:val="1"/>
        </w:rPr>
        <w:t xml:space="preserve"> ، </w:t>
      </w:r>
      <w:r w:rsidDel="00000000" w:rsidR="00000000" w:rsidRPr="00000000">
        <w:rPr>
          <w:sz w:val="20"/>
          <w:szCs w:val="20"/>
          <w:rtl w:val="1"/>
        </w:rPr>
        <w:t xml:space="preserve">ثم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انتقل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إلى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بغداد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فلم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يزل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بها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إلى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أن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sz w:val="20"/>
          <w:szCs w:val="20"/>
          <w:rtl w:val="1"/>
        </w:rPr>
        <w:t xml:space="preserve">توفي</w:t>
      </w:r>
      <w:r w:rsidDel="00000000" w:rsidR="00000000" w:rsidRPr="00000000">
        <w:rPr>
          <w:sz w:val="20"/>
          <w:szCs w:val="20"/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           ( 225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المصاحف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وخلف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الأسدي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229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أحد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العشرة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أصله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واسط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واشتهر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وتوفي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مختفيا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ً 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زمان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الجهمية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المصاحف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2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لأبى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يوسف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نصر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البغدادي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240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الحذ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المصحف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التميمي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جواز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طريق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المخاطبة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وكتاب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الرسم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0">
      <w:pPr>
        <w:widowControl w:val="0"/>
        <w:bidi w:val="1"/>
        <w:spacing w:before="120" w:lineRule="auto"/>
        <w:ind w:firstLine="72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الهجاء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المصاحف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السجستاني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sz w:val="24"/>
          <w:szCs w:val="24"/>
          <w:rtl w:val="1"/>
        </w:rPr>
        <w:t xml:space="preserve">ولثعلب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أبو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العباس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يحيى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النحوي</w:t>
      </w:r>
      <w:r w:rsidDel="00000000" w:rsidR="00000000" w:rsidRPr="00000000">
        <w:rPr>
          <w:sz w:val="24"/>
          <w:szCs w:val="24"/>
          <w:rtl w:val="1"/>
        </w:rPr>
        <w:t xml:space="preserve"> ، ( </w:t>
      </w:r>
      <w:r w:rsidDel="00000000" w:rsidR="00000000" w:rsidRPr="00000000">
        <w:rPr>
          <w:sz w:val="24"/>
          <w:szCs w:val="24"/>
          <w:rtl w:val="1"/>
        </w:rPr>
        <w:t xml:space="preserve">ت</w:t>
      </w:r>
      <w:r w:rsidDel="00000000" w:rsidR="00000000" w:rsidRPr="00000000">
        <w:rPr>
          <w:sz w:val="24"/>
          <w:szCs w:val="24"/>
          <w:rtl w:val="1"/>
        </w:rPr>
        <w:t xml:space="preserve"> 291 </w:t>
      </w:r>
      <w:r w:rsidDel="00000000" w:rsidR="00000000" w:rsidRPr="00000000">
        <w:rPr>
          <w:sz w:val="24"/>
          <w:szCs w:val="24"/>
          <w:rtl w:val="1"/>
        </w:rPr>
        <w:t xml:space="preserve">هـ</w:t>
      </w:r>
      <w:r w:rsidDel="00000000" w:rsidR="00000000" w:rsidRPr="00000000">
        <w:rPr>
          <w:sz w:val="24"/>
          <w:szCs w:val="24"/>
          <w:rtl w:val="1"/>
        </w:rPr>
        <w:t xml:space="preserve"> ) </w:t>
      </w:r>
      <w:r w:rsidDel="00000000" w:rsidR="00000000" w:rsidRPr="00000000">
        <w:rPr>
          <w:sz w:val="24"/>
          <w:szCs w:val="24"/>
          <w:rtl w:val="1"/>
        </w:rPr>
        <w:t xml:space="preserve">وهو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أئمة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النحو</w:t>
      </w:r>
      <w:r w:rsidDel="00000000" w:rsidR="00000000" w:rsidRPr="00000000">
        <w:rPr>
          <w:sz w:val="24"/>
          <w:szCs w:val="24"/>
          <w:rtl w:val="1"/>
        </w:rPr>
        <w:t xml:space="preserve"> ،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الهجاء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والهجاء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لأبي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العباس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محمد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يزيد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المبرد</w:t>
      </w:r>
      <w:r w:rsidDel="00000000" w:rsidR="00000000" w:rsidRPr="00000000">
        <w:rPr>
          <w:rtl w:val="1"/>
        </w:rPr>
        <w:t xml:space="preserve">   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285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3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زكريا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سليمان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الأموي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203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سلام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224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231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الرفاعي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أهل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الكوفة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.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ولي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القضاء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ببغداد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242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حدثنا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جعفر</w:t>
      </w:r>
      <w:r w:rsidDel="00000000" w:rsidR="00000000" w:rsidRPr="00000000">
        <w:rPr>
          <w:rtl w:val="1"/>
        </w:rPr>
        <w:t xml:space="preserve">..... </w:t>
      </w:r>
      <w:r w:rsidDel="00000000" w:rsidR="00000000" w:rsidRPr="00000000">
        <w:rPr>
          <w:rtl w:val="1"/>
        </w:rPr>
        <w:t xml:space="preserve">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صاعد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vertAlign w:val="superscript"/>
          <w:rtl w:val="0"/>
        </w:rPr>
        <w:t xml:space="preserve"> </w:t>
      </w:r>
      <w:r w:rsidDel="00000000" w:rsidR="00000000" w:rsidRPr="00000000">
        <w:rPr>
          <w:rtl w:val="1"/>
        </w:rPr>
        <w:t xml:space="preserve">أفاد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الباذش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الإقناع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249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البهلول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التنوخي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252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السجستاني</w:t>
      </w:r>
      <w:r w:rsidDel="00000000" w:rsidR="00000000" w:rsidRPr="00000000">
        <w:rPr>
          <w:rtl w:val="1"/>
        </w:rPr>
        <w:t xml:space="preserve">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لإسماعيل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الجهضمي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الأزدي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المالكي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282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احتجاج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المبرد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285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النديم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D">
      <w:pPr>
        <w:widowControl w:val="0"/>
        <w:bidi w:val="1"/>
        <w:spacing w:before="120" w:lineRule="auto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شاذان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عيسى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أبو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العباس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الرازي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المقرئ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290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لثعلب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291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3F">
      <w:pPr>
        <w:widowControl w:val="0"/>
        <w:bidi w:val="1"/>
        <w:spacing w:before="120" w:lineRule="auto"/>
        <w:ind w:firstLine="720"/>
        <w:contextualSpacing w:val="0"/>
        <w:jc w:val="both"/>
        <w:rPr>
          <w:b w:val="1"/>
        </w:rPr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البياضي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294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قتله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القرامطة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b w:val="1"/>
          <w:rtl w:val="1"/>
        </w:rPr>
        <w:t xml:space="preserve">وأشهر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الكتب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حملت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عنوان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الجامع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القراءات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4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ليعقوب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الحضرمي</w:t>
      </w:r>
      <w:r w:rsidDel="00000000" w:rsidR="00000000" w:rsidRPr="00000000">
        <w:rPr>
          <w:rtl w:val="1"/>
        </w:rPr>
        <w:t xml:space="preserve">     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205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رفاعة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248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3">
      <w:pPr>
        <w:widowControl w:val="0"/>
        <w:tabs>
          <w:tab w:val="left" w:pos="3135"/>
        </w:tabs>
        <w:bidi w:val="1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رزين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از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الجامع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عيسى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الأصبهاني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253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إنطاكية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258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التسميتين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سماه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الخمس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الخمس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وكل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خمسة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فاختار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الخمسة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مقرئا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يذكروا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اختارهم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   </w:t>
      </w:r>
    </w:p>
    <w:p w:rsidR="00000000" w:rsidDel="00000000" w:rsidP="00000000" w:rsidRDefault="00000000" w:rsidRPr="00000000" w14:paraId="0000004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ملامح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المرحلة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4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المتتبع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يلاحظ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عراقيون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ويأتي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عوامل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أكثرهم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ركزوا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اهتمامهم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والاهتمام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بالناحية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النحوية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ولاسيما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تلاميذ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الدؤلي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الكوفة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الوافدين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تأسيسها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( 145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</w:rPr>
        <w:footnoteReference w:customMarkFollows="0" w:id="39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4C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5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التأليف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التجويد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المستنير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أسماه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الأصوات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وتبعه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الأصمعي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sz w:val="24"/>
          <w:szCs w:val="24"/>
          <w:rtl w:val="1"/>
        </w:rPr>
        <w:t xml:space="preserve">عبد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الملك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قريب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216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والأخفش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الأوسط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مسعدة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215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الأصوات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4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ويليهم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السجستاني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بكتابه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الإدغام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bidi w:val="1"/>
        <w:spacing w:before="120" w:lineRule="auto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6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الوقف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والابتداء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5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جل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تنحصر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كوفيين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وبغداديين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والثالث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قط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اقتضت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رسالة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والدفاع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والتأليف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علومه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فالتأليف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5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التمام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الهذلي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234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ويعقوب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الحضرمي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205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العلاء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يعقوب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وصفه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تلميذه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السجستاني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بقوله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يعقوب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إسحاق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الكثيرة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والفقه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المغيرة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اليزيدي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202 )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207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وبعده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الأخفش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مسعدة</w:t>
      </w:r>
      <w:r w:rsidDel="00000000" w:rsidR="00000000" w:rsidRPr="00000000">
        <w:rPr>
          <w:rtl w:val="1"/>
        </w:rPr>
        <w:t xml:space="preserve">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215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الموسوم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عاصم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لعمرو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    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221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 ، </w:t>
      </w:r>
      <w:r w:rsidDel="00000000" w:rsidR="00000000" w:rsidRPr="00000000">
        <w:rPr>
          <w:rtl w:val="1"/>
        </w:rPr>
        <w:t xml:space="preserve">أفاد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الباذش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الإقناع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السبع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العشرة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المشهورين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( 229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معاصره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دققنا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لوجدنا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ووثقه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وذكره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. </w:t>
      </w:r>
      <w:r w:rsidDel="00000000" w:rsidR="00000000" w:rsidRPr="00000000">
        <w:rPr>
          <w:rtl w:val="1"/>
        </w:rPr>
        <w:t xml:space="preserve">وقال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القفطي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المذهب</w:t>
      </w:r>
      <w:r w:rsidDel="00000000" w:rsidR="00000000" w:rsidRPr="00000000">
        <w:rPr>
          <w:rtl w:val="1"/>
        </w:rPr>
        <w:t xml:space="preserve"> " 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اتباع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( 231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سليمان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الربيع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الزهراني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234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الحروف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b w:val="1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معاصره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دالر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المبارك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اليزيدي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237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أل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عمر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246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رواة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الكسائي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سعدان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ونسبته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بالجانب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بغداد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أبطال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طغيان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المعتزلة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حنبل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وجاء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السجستاني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255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فألف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( </w:t>
      </w:r>
      <w:r w:rsidDel="00000000" w:rsidR="00000000" w:rsidRPr="00000000">
        <w:rPr>
          <w:rtl w:val="1"/>
        </w:rPr>
        <w:t xml:space="preserve">المقاطع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والمبادئ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أثارت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آراؤه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وأنواعه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ردود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فعل</w:t>
      </w:r>
      <w:r w:rsidDel="00000000" w:rsidR="00000000" w:rsidRPr="00000000">
        <w:rPr>
          <w:rtl w:val="1"/>
        </w:rPr>
        <w:t xml:space="preserve">ٍ </w:t>
      </w:r>
      <w:r w:rsidDel="00000000" w:rsidR="00000000" w:rsidRPr="00000000">
        <w:rPr>
          <w:rtl w:val="1"/>
        </w:rPr>
        <w:t xml:space="preserve">مختلفة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الدنيا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محم</w:t>
      </w:r>
      <w:r w:rsidDel="00000000" w:rsidR="00000000" w:rsidRPr="00000000">
        <w:rPr>
          <w:rtl w:val="1"/>
        </w:rPr>
        <w:t xml:space="preserve">ّ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سفيان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القرشي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مولاهم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281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حنيفة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الدينوري</w:t>
      </w:r>
      <w:r w:rsidDel="00000000" w:rsidR="00000000" w:rsidRPr="00000000">
        <w:rPr>
          <w:rtl w:val="1"/>
        </w:rPr>
        <w:t xml:space="preserve">          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(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282 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الهجري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المقرئ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سليمان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المعروف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بالضبي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291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وقرأ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الأنباري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ولمعاصره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ثعلب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291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</w:t>
      </w:r>
      <w:r w:rsidDel="00000000" w:rsidR="00000000" w:rsidRPr="00000000">
        <w:rPr>
          <w:rtl w:val="1"/>
        </w:rPr>
        <w:t xml:space="preserve">كتابه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والابتداء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2">
      <w:pPr>
        <w:widowControl w:val="0"/>
        <w:bidi w:val="1"/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7 </w:t>
      </w:r>
      <w:r w:rsidDel="00000000" w:rsidR="00000000" w:rsidRPr="00000000">
        <w:rPr>
          <w:b w:val="1"/>
          <w:rtl w:val="1"/>
        </w:rPr>
        <w:t xml:space="preserve">ـ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متشابه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القرآن</w:t>
      </w:r>
    </w:p>
    <w:p w:rsidR="00000000" w:rsidDel="00000000" w:rsidP="00000000" w:rsidRDefault="00000000" w:rsidRPr="00000000" w14:paraId="00000063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4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لجعفر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المعتزلي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216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5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لبشر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المعتزلي</w:t>
      </w:r>
      <w:r w:rsidDel="00000000" w:rsidR="00000000" w:rsidRPr="00000000">
        <w:rPr>
          <w:rtl w:val="1"/>
        </w:rPr>
        <w:t xml:space="preserve">   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210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6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لخلف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هشام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البزار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البغدادي</w:t>
      </w:r>
      <w:r w:rsidDel="00000000" w:rsidR="00000000" w:rsidRPr="00000000">
        <w:rPr>
          <w:rtl w:val="1"/>
        </w:rPr>
        <w:t xml:space="preserve">    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229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7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 </w:t>
      </w:r>
      <w:r w:rsidDel="00000000" w:rsidR="00000000" w:rsidRPr="00000000">
        <w:rPr>
          <w:rtl w:val="1"/>
        </w:rPr>
        <w:t xml:space="preserve">لمحمود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الوراق</w:t>
      </w:r>
      <w:r w:rsidDel="00000000" w:rsidR="00000000" w:rsidRPr="00000000">
        <w:rPr>
          <w:rtl w:val="1"/>
        </w:rPr>
        <w:t xml:space="preserve"> ،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230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،  </w:t>
      </w:r>
      <w:r w:rsidDel="00000000" w:rsidR="00000000" w:rsidRPr="00000000">
        <w:rPr>
          <w:rtl w:val="1"/>
        </w:rPr>
        <w:t xml:space="preserve">لأبي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هذيل</w:t>
      </w:r>
      <w:r w:rsidDel="00000000" w:rsidR="00000000" w:rsidRPr="00000000">
        <w:rPr>
          <w:rtl w:val="1"/>
        </w:rPr>
        <w:t xml:space="preserve">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235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9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الزنادقة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والجهمية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شككوا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متشابه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وتأولوه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تأويله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للإمام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حنبل</w:t>
      </w:r>
      <w:r w:rsidDel="00000000" w:rsidR="00000000" w:rsidRPr="00000000">
        <w:rPr>
          <w:rtl w:val="1"/>
        </w:rPr>
        <w:t xml:space="preserve">                  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241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 ، </w:t>
      </w:r>
      <w:r w:rsidDel="00000000" w:rsidR="00000000" w:rsidRPr="00000000">
        <w:rPr>
          <w:rtl w:val="1"/>
        </w:rPr>
        <w:t xml:space="preserve">والكتاب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مطبوع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 )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ألفت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موضوعات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متفرقة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6B">
      <w:pPr>
        <w:widowControl w:val="0"/>
        <w:bidi w:val="1"/>
        <w:ind w:firstLine="720"/>
        <w:contextualSpacing w:val="0"/>
        <w:jc w:val="both"/>
        <w:rPr>
          <w:rFonts w:ascii="Simplified Arabic" w:cs="Simplified Arabic" w:eastAsia="Simplified Arabic" w:hAnsi="Simplified Arabic"/>
          <w:color w:val="000000"/>
        </w:rPr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مصادر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لإبراهيم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يحيى</w:t>
      </w:r>
      <w:r w:rsidDel="00000000" w:rsidR="00000000" w:rsidRPr="00000000">
        <w:rPr>
          <w:rtl w:val="1"/>
        </w:rPr>
        <w:t xml:space="preserve"> (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 225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يكمله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6C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والجمع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والتثنية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color w:val="000000"/>
          <w:rtl w:val="1"/>
        </w:rPr>
        <w:t xml:space="preserve">للفراء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6D">
      <w:pPr>
        <w:widowControl w:val="0"/>
        <w:bidi w:val="1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يظهر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والمتنوعة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العراقيين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وعلومه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المؤلفات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بصماتها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واضحة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الآتية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مختلف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.</w:t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202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Simplified Arabic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ضحى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9 .</w:t>
      </w:r>
    </w:p>
  </w:footnote>
  <w:footnote w:id="1"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التدوين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مرحلة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الملاحظة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المحض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لإبراهيم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حوليات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التونسية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( 29 ) ، 1988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262 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الحيدة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والاعتذار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بخلق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العزيز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ميمون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الكناني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204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‍ )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: 140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562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مرجليوث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وتعليق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البارودي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1408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3/ 183 . 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1945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222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المذاهب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2 / 298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، 1977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137 .</w:t>
      </w:r>
    </w:p>
  </w:footnote>
  <w:footnote w:id="5"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</w:t>
        <w:tab/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ترجمة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محررة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للسيد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أمين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الخولي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650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نقلا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زياد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اللؤلؤي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دكتوراه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حامد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الدباغ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209 .</w:t>
      </w:r>
    </w:p>
  </w:footnote>
  <w:footnote w:id="6"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موارد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1975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22 .</w:t>
      </w:r>
    </w:p>
  </w:footnote>
  <w:footnote w:id="7"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6/56 .</w:t>
      </w:r>
    </w:p>
  </w:footnote>
  <w:footnote w:id="8"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38.</w:t>
      </w:r>
    </w:p>
  </w:footnote>
  <w:footnote w:id="9"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294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2/223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224 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/ 103 .</w:t>
      </w:r>
    </w:p>
  </w:footnote>
  <w:footnote w:id="10"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53 .</w:t>
      </w:r>
    </w:p>
  </w:footnote>
  <w:footnote w:id="11"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2/1980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1/321 .</w:t>
      </w:r>
    </w:p>
  </w:footnote>
  <w:footnote w:id="12"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3/213 .</w:t>
      </w:r>
    </w:p>
  </w:footnote>
  <w:footnote w:id="13"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86 - 89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66 - 67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 276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228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1/ 144 .</w:t>
      </w:r>
    </w:p>
  </w:footnote>
  <w:footnote w:id="14"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104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5/309. </w:t>
      </w:r>
    </w:p>
  </w:footnote>
  <w:footnote w:id="15"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8/322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1/273 .</w:t>
      </w:r>
      <w:r w:rsidDel="00000000" w:rsidR="00000000" w:rsidRPr="00000000">
        <w:rPr>
          <w:rtl w:val="0"/>
        </w:rPr>
      </w:r>
    </w:p>
  </w:footnote>
  <w:footnote w:id="16"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213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214 .</w:t>
      </w:r>
    </w:p>
  </w:footnote>
  <w:footnote w:id="17"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4/294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224 .</w:t>
      </w:r>
    </w:p>
  </w:footnote>
  <w:footnote w:id="18"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11/ 265 .</w:t>
      </w:r>
    </w:p>
  </w:footnote>
  <w:footnote w:id="19"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5/204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293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للوزير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646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1955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 2/ 214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1/164 .</w:t>
      </w:r>
    </w:p>
  </w:footnote>
  <w:footnote w:id="20"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5/142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269 – 271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2/4 .</w:t>
      </w:r>
    </w:p>
  </w:footnote>
  <w:footnote w:id="21"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227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/ 175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176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وشذرات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 8 . </w:t>
      </w:r>
    </w:p>
  </w:footnote>
  <w:footnote w:id="22"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 /355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 /315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 /17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377 .</w:t>
      </w:r>
    </w:p>
  </w:footnote>
  <w:footnote w:id="23"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النشاط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58.  </w:t>
      </w:r>
    </w:p>
  </w:footnote>
  <w:footnote w:id="24"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3/ 376.</w:t>
      </w:r>
    </w:p>
  </w:footnote>
  <w:footnote w:id="25"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الباذش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         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540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المربدي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وقرظه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فتحي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حجازي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 ، 1419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– 1999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1/224 .</w:t>
      </w:r>
    </w:p>
  </w:footnote>
  <w:footnote w:id="26"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الاعتدال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 246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العسقلاني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852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للمطبوعات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3 ، 1406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1986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6/ 177</w:t>
      </w:r>
      <w:r w:rsidDel="00000000" w:rsidR="00000000" w:rsidRPr="00000000">
        <w:rPr>
          <w:rtl w:val="0"/>
        </w:rPr>
      </w:r>
    </w:p>
  </w:footnote>
  <w:footnote w:id="27"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367.</w:t>
      </w:r>
    </w:p>
  </w:footnote>
  <w:footnote w:id="28"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411 .</w:t>
      </w:r>
    </w:p>
  </w:footnote>
  <w:footnote w:id="29"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6/ 284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يستحق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التجاري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للطباعة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اليعمري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799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92 .</w:t>
      </w:r>
    </w:p>
  </w:footnote>
  <w:footnote w:id="30"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65 .</w:t>
      </w:r>
    </w:p>
  </w:footnote>
  <w:footnote w:id="31"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1/191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2 : /10 . </w:t>
      </w:r>
      <w:r w:rsidDel="00000000" w:rsidR="00000000" w:rsidRPr="00000000">
        <w:rPr>
          <w:rtl w:val="0"/>
        </w:rPr>
      </w:r>
    </w:p>
  </w:footnote>
  <w:footnote w:id="32"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5/204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293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214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1/164 .</w:t>
      </w:r>
    </w:p>
  </w:footnote>
  <w:footnote w:id="33"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2/401 .</w:t>
      </w:r>
    </w:p>
  </w:footnote>
  <w:footnote w:id="34"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1/158 .</w:t>
      </w:r>
    </w:p>
  </w:footnote>
  <w:footnote w:id="35"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3/375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2/280 .</w:t>
      </w:r>
      <w:r w:rsidDel="00000000" w:rsidR="00000000" w:rsidRPr="00000000">
        <w:rPr>
          <w:rtl w:val="0"/>
        </w:rPr>
      </w:r>
    </w:p>
  </w:footnote>
  <w:footnote w:id="36"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224. </w:t>
      </w:r>
    </w:p>
  </w:footnote>
  <w:footnote w:id="37"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والوافي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 294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2/223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224  ،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المؤلفين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11 / 103 .</w:t>
      </w:r>
    </w:p>
  </w:footnote>
  <w:footnote w:id="38"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 / 207 – 208 .</w:t>
      </w:r>
    </w:p>
  </w:footnote>
  <w:footnote w:id="39"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نصيف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الجنابي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1985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31 .</w:t>
      </w:r>
    </w:p>
  </w:footnote>
  <w:footnote w:id="40"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78 .</w:t>
      </w:r>
    </w:p>
  </w:footnote>
  <w:footnote w:id="41"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82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وأخبار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اعتنى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بنشره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فريتس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كرنكو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نشرات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الشرقية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بالجزائر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الكاثوليكية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1936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58 .</w:t>
      </w:r>
    </w:p>
  </w:footnote>
  <w:footnote w:id="42"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77- 88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1/191-192 .</w:t>
      </w:r>
    </w:p>
  </w:footnote>
  <w:footnote w:id="43"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411 .</w:t>
      </w:r>
    </w:p>
  </w:footnote>
  <w:footnote w:id="44"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214 .</w:t>
      </w:r>
    </w:p>
  </w:footnote>
  <w:footnote w:id="45"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449 .</w:t>
      </w:r>
    </w:p>
  </w:footnote>
  <w:footnote w:id="46"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1/151 .</w:t>
      </w:r>
    </w:p>
  </w:footnote>
  <w:footnote w:id="47"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86 - 89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66 - 67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 276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228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1/ 144 .</w:t>
      </w:r>
    </w:p>
  </w:footnote>
  <w:footnote w:id="48"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77- 88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1/191-192 .</w:t>
      </w:r>
    </w:p>
  </w:footnote>
  <w:footnote w:id="49"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1/122 .</w:t>
      </w:r>
    </w:p>
  </w:footnote>
  <w:footnote w:id="50"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8/322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1/273 .</w:t>
      </w:r>
      <w:r w:rsidDel="00000000" w:rsidR="00000000" w:rsidRPr="00000000">
        <w:rPr>
          <w:rtl w:val="0"/>
        </w:rPr>
      </w:r>
    </w:p>
  </w:footnote>
  <w:footnote w:id="51"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5/34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إنباه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الرواة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3/140. </w:t>
      </w:r>
    </w:p>
  </w:footnote>
  <w:footnote w:id="52"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2/276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10: / 676 .</w:t>
      </w:r>
    </w:p>
  </w:footnote>
  <w:footnote w:id="53"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المصاحف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1/101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463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2/1980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ومناهل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1/321 .</w:t>
      </w:r>
    </w:p>
  </w:footnote>
  <w:footnote w:id="54"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1/191-192. </w:t>
      </w:r>
    </w:p>
  </w:footnote>
  <w:footnote w:id="55"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العارفين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411 .</w:t>
      </w:r>
    </w:p>
  </w:footnote>
  <w:footnote w:id="56"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13 / 397- 404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1/530. </w:t>
      </w:r>
    </w:p>
  </w:footnote>
  <w:footnote w:id="57"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منار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الوقف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والابتداء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احمد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الاشموني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الحادي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الهجري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تصحيح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ابراهيم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الدسوقي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بولاق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1286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للداوودي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42 .</w:t>
      </w:r>
    </w:p>
  </w:footnote>
  <w:footnote w:id="58"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38 .</w:t>
      </w:r>
    </w:p>
  </w:footnote>
  <w:footnote w:id="59"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5/204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293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 138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1/30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وتذكرة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214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172،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الظنون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1/164 .</w:t>
      </w:r>
    </w:p>
  </w:footnote>
  <w:footnote w:id="60"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20/48 .</w:t>
      </w:r>
    </w:p>
  </w:footnote>
  <w:footnote w:id="61"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1/46 .</w:t>
      </w:r>
    </w:p>
  </w:footnote>
  <w:footnote w:id="62"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بغداد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8/322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1/273 .</w:t>
      </w:r>
      <w:r w:rsidDel="00000000" w:rsidR="00000000" w:rsidRPr="00000000">
        <w:rPr>
          <w:rtl w:val="0"/>
        </w:rPr>
      </w:r>
    </w:p>
  </w:footnote>
  <w:footnote w:id="63"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رتيب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306</w:t>
      </w:r>
      <w:r w:rsidDel="00000000" w:rsidR="00000000" w:rsidRPr="00000000">
        <w:rPr>
          <w:rtl w:val="0"/>
        </w:rPr>
      </w:r>
    </w:p>
  </w:footnote>
  <w:footnote w:id="64"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4/265-267 .</w:t>
      </w:r>
    </w:p>
  </w:footnote>
  <w:footnote w:id="65"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:1 /75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10 /323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الزنادقة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والجهمية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 ، 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المطبعة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السلفية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1393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.</w:t>
      </w:r>
    </w:p>
  </w:footnote>
  <w:footnote w:id="66"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الالباء</w:t>
      </w:r>
      <w:r w:rsidDel="00000000" w:rsidR="00000000" w:rsidRPr="00000000">
        <w:rPr>
          <w:rFonts w:ascii="Simplified Arabic" w:cs="Simplified Arabic" w:eastAsia="Simplified Arabic" w:hAnsi="Simplified Arab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223 .</w:t>
      </w:r>
      <w:r w:rsidDel="00000000" w:rsidR="00000000" w:rsidRPr="00000000">
        <w:rPr>
          <w:rtl w:val="0"/>
        </w:rPr>
      </w:r>
    </w:p>
  </w:footnote>
  <w:footnote w:id="67"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النحويين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86 - 89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والفهرست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66 - 67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ونزهة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الالباء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126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وإرشاد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7/ 276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ووفيات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الأعيان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 228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2/371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ومفتاح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            1/ 144 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before="120" w:lineRule="auto"/>
      <w:jc w:val="center"/>
    </w:pPr>
    <w:rPr>
      <w:sz w:val="44"/>
      <w:szCs w:val="44"/>
    </w:rPr>
  </w:style>
  <w:style w:type="paragraph" w:styleId="Heading2">
    <w:name w:val="heading 2"/>
    <w:basedOn w:val="Normal"/>
    <w:next w:val="Normal"/>
    <w:pPr>
      <w:keepNext w:val="1"/>
      <w:widowControl w:val="0"/>
      <w:spacing w:before="120" w:lineRule="auto"/>
      <w:jc w:val="both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