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left="0" w:right="0"/>
        <w:contextualSpacing w:val="0"/>
        <w:jc w:val="center"/>
        <w:rPr>
          <w:sz w:val="96"/>
          <w:szCs w:val="96"/>
          <w:vertAlign w:val="baseline"/>
        </w:rPr>
      </w:pPr>
      <w:r w:rsidDel="00000000" w:rsidR="00000000" w:rsidRPr="00000000">
        <w:rPr>
          <w:sz w:val="96"/>
          <w:szCs w:val="96"/>
          <w:vertAlign w:val="baseline"/>
          <w:rtl w:val="0"/>
        </w:rPr>
        <w:t xml:space="preserve"></w:t>
      </w:r>
    </w:p>
    <w:tbl>
      <w:tblPr>
        <w:tblStyle w:val="Table1"/>
        <w:bidiVisual w:val="1"/>
        <w:tblW w:w="852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0"/>
        <w:gridCol w:w="1242"/>
        <w:tblGridChange w:id="0">
          <w:tblGrid>
            <w:gridCol w:w="7280"/>
            <w:gridCol w:w="1242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المقدمة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التفسير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نظرة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تاريخية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وتطوره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6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القران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7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للقرآن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13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المبرزون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الصحابة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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التفسير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15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مدرسة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المكرمة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23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الخا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مدرسة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المدينة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المنورة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26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مفسري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الصحابة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28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41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أثر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الفكر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42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43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55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58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71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95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101 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الفكري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وأثره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التفاسير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علي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173 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مقاتل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سليمان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سفيان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الثوري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الفكري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وأثره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203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217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التفاسير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287 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تمهيد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288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مجاز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لأبي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عبيدة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290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العسكري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التستري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314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فرات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324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جهود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الرابع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الفكري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وأثره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أبرز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القرن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المفسرين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العراقيين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وأثرهم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427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تمهيد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428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تفسير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العظيم</w:t>
            </w:r>
            <w:r w:rsidDel="00000000" w:rsidR="00000000" w:rsidRPr="00000000">
              <w:rPr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vertAlign w:val="baseline"/>
                <w:rtl w:val="1"/>
              </w:rPr>
              <w:t xml:space="preserve">لابن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ابي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حاتم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430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معاني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vertAlign w:val="baseline"/>
                <w:rtl w:val="1"/>
              </w:rPr>
              <w:t xml:space="preserve">للنحاس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438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vertAlign w:val="baseline"/>
                <w:rtl w:val="1"/>
              </w:rPr>
              <w:t xml:space="preserve">ياقوتة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الصراط</w:t>
            </w:r>
            <w:r w:rsidDel="00000000" w:rsidR="00000000" w:rsidRPr="00000000">
              <w:rPr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vertAlign w:val="baseline"/>
                <w:rtl w:val="1"/>
              </w:rPr>
              <w:t xml:space="preserve">لمحمد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اللغوي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445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بحر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نصر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vertAlign w:val="baseline"/>
                <w:rtl w:val="1"/>
              </w:rPr>
              <w:t xml:space="preserve">السمرقندي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451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الخاتمة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459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والمراجع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461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ملخص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الاطروحة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باللغة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الانكليزية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bidi w:val="1"/>
              <w:spacing w:before="120" w:lineRule="auto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spacing w:before="120" w:lineRule="auto"/>
      <w:ind w:left="0" w:right="0"/>
      <w:jc w:val="both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