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spacing w:before="120" w:lineRule="auto"/>
        <w:ind w:left="0" w:right="0"/>
        <w:contextualSpacing w:val="0"/>
        <w:jc w:val="center"/>
        <w:rPr>
          <w:sz w:val="96"/>
          <w:szCs w:val="96"/>
          <w:vertAlign w:val="baseline"/>
        </w:rPr>
      </w:pPr>
      <w:r w:rsidDel="00000000" w:rsidR="00000000" w:rsidRPr="00000000">
        <w:rPr>
          <w:sz w:val="96"/>
          <w:szCs w:val="96"/>
          <w:vertAlign w:val="baseline"/>
          <w:rtl w:val="0"/>
        </w:rPr>
        <w:t xml:space="preserve"></w:t>
      </w:r>
    </w:p>
    <w:tbl>
      <w:tblPr>
        <w:tblStyle w:val="Table1"/>
        <w:bidiVisual w:val="1"/>
        <w:tblW w:w="852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80"/>
        <w:gridCol w:w="1242"/>
        <w:tblGridChange w:id="0">
          <w:tblGrid>
            <w:gridCol w:w="7280"/>
            <w:gridCol w:w="1242"/>
          </w:tblGrid>
        </w:tblGridChange>
      </w:tblGrid>
      <w:t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01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                        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الموضوع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bottom w:color="000000" w:space="0" w:sz="4" w:val="single"/>
              <w:right w:color="000000" w:space="0" w:sz="2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المقدمة</w:t>
            </w:r>
          </w:p>
        </w:tc>
        <w:tc>
          <w:tcPr>
            <w:tcBorders>
              <w:top w:color="000000" w:space="0" w:sz="4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1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pStyle w:val="Heading1"/>
              <w:bidi w:val="1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الأ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نشأة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التفسير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العراق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5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الأ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نظرة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تاريخية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نشأة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التفسير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وتطوره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6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الأ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الحاجة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القران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الكريم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7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  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الث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ول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ِ </w:t>
            </w:r>
            <w:r w:rsidDel="00000000" w:rsidR="00000000" w:rsidRPr="00000000">
              <w:rPr>
                <w:vertAlign w:val="baseline"/>
                <w:rtl w:val="0"/>
              </w:rPr>
              <w:t xml:space="preserve">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للقرآن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vertAlign w:val="baseline"/>
                <w:rtl w:val="1"/>
              </w:rPr>
              <w:t xml:space="preserve">الكريم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13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ال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المبرزون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الصحابة</w:t>
            </w:r>
            <w:r w:rsidDel="00000000" w:rsidR="00000000" w:rsidRPr="00000000">
              <w:rPr>
                <w:vertAlign w:val="baseline"/>
                <w:rtl w:val="1"/>
              </w:rPr>
              <w:t xml:space="preserve"> 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التفسير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15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الر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اب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ع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مدرسة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التفسير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مكة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المكرمة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23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الخا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س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مدرسة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التفسير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المدينة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المنورة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26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أبرز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مفسري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الصحابة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العراق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28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ف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ص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جهود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المفسرين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القرن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41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الأ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أثر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الفكر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الإسلامي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vertAlign w:val="baseline"/>
                <w:rtl w:val="1"/>
              </w:rPr>
              <w:t xml:space="preserve">العراق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42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12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أثر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الإسلام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الحركة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العلمية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43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12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جهود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العراقيين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خدمة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علوم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آن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55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12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المدارس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الاسلامية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العراق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  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58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جهود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المفسرين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العراقيين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71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المبحث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خصائص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التفسير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القرن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95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ف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ص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ال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جهود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المفسرين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القرن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الثاني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101 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الأ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النشاط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الفكري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وأثره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القرآن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102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أبرز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المفسرين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العراقيين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القرن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111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ال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أبرز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التفاسير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172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bidi w:val="1"/>
              <w:spacing w:before="120" w:lineRule="auto"/>
              <w:ind w:left="0" w:right="0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الأ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زيد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علي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173 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bidi w:val="1"/>
              <w:spacing w:before="120" w:lineRule="auto"/>
              <w:ind w:left="0" w:right="0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مقاتل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سليمان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182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bidi w:val="1"/>
              <w:spacing w:before="120" w:lineRule="auto"/>
              <w:ind w:left="0" w:right="0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سفيان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الثوري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192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ف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ص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الر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اب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ع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جهود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المفسرين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القرن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202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الأ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النشاط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الفكري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وأثره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القرآن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203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أبرز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المفسرين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العراقيين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القرن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217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ال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أبرز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التفاسير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287 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bidi w:val="1"/>
              <w:spacing w:before="120" w:lineRule="auto"/>
              <w:ind w:left="0" w:right="0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تمهيد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288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bidi w:val="1"/>
              <w:spacing w:before="120" w:lineRule="auto"/>
              <w:ind w:left="0" w:right="0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الأ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مجاز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لأبي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عبيدة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290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spacing w:before="120" w:lineRule="auto"/>
              <w:ind w:left="0" w:right="0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العسكري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300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bidi w:val="1"/>
              <w:spacing w:before="120" w:lineRule="auto"/>
              <w:ind w:left="0" w:right="0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التستري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314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bidi w:val="1"/>
              <w:spacing w:before="120" w:lineRule="auto"/>
              <w:ind w:left="0" w:right="0"/>
              <w:contextualSpacing w:val="0"/>
              <w:jc w:val="lef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ط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الر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اب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ع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فرات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324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ف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ص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الخامس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جهود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المفسرين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القرن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الرابع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331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الأ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ل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النشاط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الفكري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وأثره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القرآن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332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أبرز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المفسرين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العراقيين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القرن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345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vertAlign w:val="baseline"/>
                <w:rtl w:val="1"/>
              </w:rPr>
              <w:t xml:space="preserve">ح</w:t>
            </w:r>
            <w:r w:rsidDel="00000000" w:rsidR="00000000" w:rsidRPr="00000000">
              <w:rPr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</w:t>
            </w:r>
            <w:r w:rsidDel="00000000" w:rsidR="00000000" w:rsidRPr="00000000">
              <w:rPr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vertAlign w:val="baseline"/>
                <w:rtl w:val="1"/>
              </w:rPr>
              <w:t xml:space="preserve">ال</w:t>
            </w:r>
            <w:r w:rsidDel="00000000" w:rsidR="00000000" w:rsidRPr="00000000">
              <w:rPr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vertAlign w:val="baseline"/>
                <w:rtl w:val="1"/>
              </w:rPr>
              <w:t xml:space="preserve">ث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دور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المفسرين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العراقيين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وأثرهم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427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تمهيد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428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تفسير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العظيم</w:t>
            </w:r>
            <w:r w:rsidDel="00000000" w:rsidR="00000000" w:rsidRPr="00000000">
              <w:rPr>
                <w:vertAlign w:val="baseline"/>
                <w:rtl w:val="1"/>
              </w:rPr>
              <w:t xml:space="preserve"> /</w:t>
            </w:r>
            <w:r w:rsidDel="00000000" w:rsidR="00000000" w:rsidRPr="00000000">
              <w:rPr>
                <w:vertAlign w:val="baseline"/>
                <w:rtl w:val="1"/>
              </w:rPr>
              <w:t xml:space="preserve">لابن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ابي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حاتم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430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معاني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القرآن</w:t>
            </w:r>
            <w:r w:rsidDel="00000000" w:rsidR="00000000" w:rsidRPr="00000000">
              <w:rPr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vertAlign w:val="baseline"/>
                <w:rtl w:val="1"/>
              </w:rPr>
              <w:t xml:space="preserve">للنحاس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438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vertAlign w:val="baseline"/>
                <w:rtl w:val="1"/>
              </w:rPr>
              <w:t xml:space="preserve">ياقوتة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الصراط</w:t>
            </w:r>
            <w:r w:rsidDel="00000000" w:rsidR="00000000" w:rsidRPr="00000000">
              <w:rPr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vertAlign w:val="baseline"/>
                <w:rtl w:val="1"/>
              </w:rPr>
              <w:t xml:space="preserve">لمحمد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عبد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الواحد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اللغوي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445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المطلب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بحر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العلوم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لابي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الليث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نصر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sz w:val="28"/>
                <w:szCs w:val="28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vertAlign w:val="baseline"/>
                <w:rtl w:val="1"/>
              </w:rPr>
              <w:t xml:space="preserve">السمرقندي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451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الخاتمة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459</w:t>
            </w:r>
          </w:p>
        </w:tc>
      </w:tr>
      <w:tr>
        <w:tc>
          <w:tcPr>
            <w:tcBorders>
              <w:lef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المصادر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والمراجع</w:t>
            </w:r>
          </w:p>
        </w:tc>
        <w:tc>
          <w:tcPr>
            <w:tcBorders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461</w:t>
            </w:r>
          </w:p>
        </w:tc>
      </w:tr>
      <w:tr>
        <w:tc>
          <w:tcPr>
            <w:tcBorders>
              <w:left w:color="000000" w:space="0" w:sz="24" w:val="single"/>
              <w:bottom w:color="000000" w:space="0" w:sz="2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1"/>
              </w:rPr>
              <w:t xml:space="preserve">ملخص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الاطروحة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باللغة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vertAlign w:val="baseline"/>
                <w:rtl w:val="1"/>
              </w:rPr>
              <w:t xml:space="preserve">الانكليزية</w:t>
            </w:r>
            <w:r w:rsidDel="00000000" w:rsidR="00000000" w:rsidRPr="00000000">
              <w:rPr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bidi w:val="1"/>
              <w:spacing w:before="120" w:lineRule="auto"/>
              <w:ind w:left="0" w:right="0"/>
              <w:contextualSpacing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bidi w:val="1"/>
        <w:spacing w:before="120" w:lineRule="auto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bidi w:val="1"/>
        <w:spacing w:before="120" w:lineRule="auto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bidi w:val="1"/>
        <w:spacing w:before="120" w:lineRule="auto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bidi w:val="1"/>
        <w:spacing w:before="120" w:lineRule="auto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bidi w:val="1"/>
        <w:spacing w:before="120" w:lineRule="auto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bidi w:val="1"/>
        <w:spacing w:before="120" w:lineRule="auto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bidi w:val="1"/>
        <w:spacing w:before="120" w:lineRule="auto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bidi w:val="1"/>
        <w:spacing w:before="120" w:lineRule="auto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bidi w:val="1"/>
        <w:spacing w:before="120" w:lineRule="auto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/>
      <w:pgMar w:bottom="1440" w:top="1440" w:left="1800" w:right="1800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bidi w:val="1"/>
      <w:spacing w:before="120" w:lineRule="auto"/>
      <w:ind w:left="0" w:right="0"/>
      <w:jc w:val="both"/>
    </w:pPr>
    <w:rPr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