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1"/>
        </w:rPr>
        <w:t xml:space="preserve">الخـــــــاتمـة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أقدمها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التوصيات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والاقتراحات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النتــائج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واعتناء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2"/>
          <w:tab w:val="left" w:pos="423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مبهمها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3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423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والارتباط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ومواطن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ضوئها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  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وتعزيزا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وتقريبها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المتماثلة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  <w:tab w:val="left" w:pos="567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  <w:tab w:val="left" w:pos="567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  <w:tab w:val="left" w:pos="567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وشروحها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وتوجيهها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وغريبه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  <w:tab w:val="left" w:pos="567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والارتباط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والمماثلة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يعطيه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والتوضيح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والارتباط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حفاظا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شاهدا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فيحتكم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والناقدين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يكتفي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والاستقصاء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المتماثلة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تأييدا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استدركتها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ودرستها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وأدرجت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اجتهدت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استنباطه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فدرستها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والارتباط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المدروسة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  ( 129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الاقتراحات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والتوصيات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تتبناها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الأساتذة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المتخصصين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ويبينوه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للباحثين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تتبنى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ليستفيد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الباحثون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"/>
          <w:tab w:val="left" w:pos="42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وآخرا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وباطنا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والمعافاة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ذخرا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سيئاتي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وختاما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اعوجاج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ﭟ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ﭠ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ﭡ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ﭢ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ﭣ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ﭤ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ﭥ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ﭦ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ﭧ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ﭨ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ﭩ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ﭪ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ﭫ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ﭬ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ﭭ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ﭮ</w:t>
      </w:r>
      <w:r w:rsidDel="00000000" w:rsidR="00000000" w:rsidRPr="00000000">
        <w:rPr>
          <w:rFonts w:ascii="QCF_P283" w:cs="QCF_P283" w:eastAsia="QCF_P283" w:hAnsi="QCF_P283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ﯛ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ﯜ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ﯝ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ﯞ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ﯟ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ﯠ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ﯡ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ﯢ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ﯣ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ﯤ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ﯥﯦ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ﯨ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ﯩ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ﯪ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ﯫ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ﯬ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ﯭ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ﯮ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ﯯ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ﯰ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ﯱ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ﯲ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ﯳ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ﯴ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ﯵ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ﯶ</w:t>
      </w:r>
      <w:r w:rsidDel="00000000" w:rsidR="00000000" w:rsidRPr="00000000">
        <w:rPr>
          <w:rFonts w:ascii="QCF_P293" w:cs="QCF_P293" w:eastAsia="QCF_P293" w:hAnsi="QCF_P293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701" w:top="1701" w:left="1701" w:right="2125" w:header="720" w:footer="720"/>
      <w:pgNumType w:start="48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raditional Arabic"/>
  <w:font w:name="Arial"/>
  <w:font w:name="Cambria"/>
  <w:font w:name="QCF_P293"/>
  <w:font w:name="QCF_BSML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QCF_P28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490 -</w:t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١ - ٢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الخــــــــــــــــــــــــــــــاتمة</w:t>
    </w:r>
  </w:p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454"/>
      <w:contextualSpacing w:val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decimal"/>
      <w:lvlText w:val="%2-"/>
      <w:lvlJc w:val="center"/>
      <w:pPr>
        <w:ind w:left="1534" w:hanging="360"/>
      </w:pPr>
      <w:rPr>
        <w:b w:val="0"/>
        <w:vertAlign w:val="baseline"/>
      </w:rPr>
    </w:lvl>
    <w:lvl w:ilvl="2">
      <w:start w:val="1"/>
      <w:numFmt w:val="decimal"/>
      <w:lvlText w:val="%3)"/>
      <w:lvlJc w:val="left"/>
      <w:pPr>
        <w:ind w:left="243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4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1988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-"/>
      <w:lvlJc w:val="left"/>
      <w:pPr>
        <w:ind w:left="1324" w:hanging="8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4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