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بالقرآن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من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بالقرآن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من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النور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الثالث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بالقرآن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من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الفرقان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الرابع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بالقرآن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من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الشعراء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الخامس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بالقرآن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من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النمل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السادس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1"/>
        </w:rPr>
        <w:t xml:space="preserve">بالقرآن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من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1"/>
        </w:rPr>
        <w:t xml:space="preserve">القصص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0"/>
          <w:szCs w:val="24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0"/>
          <w:szCs w:val="240"/>
          <w:u w:val="none"/>
          <w:shd w:fill="auto" w:val="clear"/>
          <w:vertAlign w:val="baseline"/>
          <w:rtl w:val="1"/>
        </w:rPr>
        <w:t xml:space="preserve">المقدمة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0"/>
          <w:szCs w:val="1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0"/>
          <w:szCs w:val="180"/>
          <w:u w:val="none"/>
          <w:shd w:fill="auto" w:val="clear"/>
          <w:vertAlign w:val="baseline"/>
          <w:rtl w:val="1"/>
        </w:rPr>
        <w:t xml:space="preserve">وفيها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وأسباب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اختياره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المتبع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وتقدير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4"/>
          <w:szCs w:val="7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