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النور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الفرقان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الشعراء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الخامس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النمل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السادس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بالقرآن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1"/>
        </w:rPr>
        <w:t xml:space="preserve">القصص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0"/>
          <w:szCs w:val="2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0"/>
          <w:szCs w:val="240"/>
          <w:u w:val="none"/>
          <w:shd w:fill="auto" w:val="clear"/>
          <w:vertAlign w:val="baseline"/>
          <w:rtl w:val="1"/>
        </w:rPr>
        <w:t xml:space="preserve">المقدمة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0"/>
          <w:szCs w:val="1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0"/>
          <w:szCs w:val="180"/>
          <w:u w:val="none"/>
          <w:shd w:fill="auto" w:val="clear"/>
          <w:vertAlign w:val="baseline"/>
          <w:rtl w:val="1"/>
        </w:rPr>
        <w:t xml:space="preserve">وفيها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اختياره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المتبع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