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</w:p>
    <w:p w:rsidR="00000000" w:rsidDel="00000000" w:rsidP="00000000" w:rsidRDefault="00000000" w:rsidRPr="00000000" w14:paraId="0000000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العقائدية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2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تناول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ثنايا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مبينا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عقيدة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الأشاعرة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واحتجاجاتهم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لتعزيز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أدلتهم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المخالفة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كالمعتزلة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والجبرية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والمشبهة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وغيرها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لدحض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العقيدية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وصفاته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5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عظمة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ومثبتا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مخالفة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للحوادث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للمخلوقات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الحوادث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بأسرها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المشيئة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المشيئة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محدثة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يقتضي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الحدوث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الاهتداء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مشيئة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الاهتداء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الاهتداء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أزلي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مشيئة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الاهتداء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أزلية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الاستدلال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التمانع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التمانع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يتولاهما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ويدبر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فطرهما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لفسدتا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الاستثناء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استثناء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لفسدتا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المفهوم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الفساد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فالفساد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لازم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الاستثناء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ذكرنا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والأرض</w:t>
      </w:r>
      <w:r w:rsidDel="00000000" w:rsidR="00000000" w:rsidRPr="00000000">
        <w:rPr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آلهة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لفسدتا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لخربتا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التمانع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الآلهة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اثنين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9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تسكينه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اجتمعا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يبقيا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الانفراد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يحاول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التحريك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التسكين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يمتنعا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عاجزا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المانع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تحصيل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والمعلول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امتنع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لحصلا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يمتنع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عاجزا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والعاجز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مستقلا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بالإيجاد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الأقسام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الفاسدة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0A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قادرا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الممكنات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فرضنا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الإلهين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قادرا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الممكنات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الحصول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ووجوب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استناده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مؤثران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مستقلان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محتاجا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وغنيا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البتة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عاجزين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فامتناع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وبالضد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امتنع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رجحان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الإلهين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مرجح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يتفقا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يختلفا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اتفقا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اختلفا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الفساد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التقديرات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0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التزم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المتقدمين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والمتأخرين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تنزيه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سبحانه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ولوازمه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المتقدمين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وقادتهم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المتأخرين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تنزيه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الجهة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مستقرا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أمور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1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مستقرا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متناهيا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متناهيا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أنقص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ضروري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متناهيا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قابلية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والنقصان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اختصاصه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لتخصيص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مخصص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محدث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متناهيا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محدثا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12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وثانيهما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متناهيا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متناهيا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قطعا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13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ذات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حاصلة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الأحياز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والجهات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فحينئذ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أحياز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حصول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أحياز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بديهة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فحينئذ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التركيب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والتبعيض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انقسم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مذاهب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جانبية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مخلوق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حقيقة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مخلوق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خلقه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منفصلا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ودحض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شبههم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القائلون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َ]، </w:t>
      </w:r>
      <w:r w:rsidDel="00000000" w:rsidR="00000000" w:rsidRPr="00000000">
        <w:rPr>
          <w:vertAlign w:val="baseline"/>
          <w:rtl w:val="1"/>
        </w:rPr>
        <w:t xml:space="preserve">فوصف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منزلا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بالقديم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محدث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بالإنزال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والتنزيل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محدثة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مخلوقة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باقيه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متوالية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متوالية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شعر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بقائها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فالعرض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زمانين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بالنزول</w:t>
      </w:r>
      <w:r w:rsidDel="00000000" w:rsidR="00000000" w:rsidRPr="00000000">
        <w:rPr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1E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سبحانه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والنقوش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المحفوظ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يطالع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النقوش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محمدا</w:t>
      </w:r>
      <w:r w:rsidDel="00000000" w:rsidR="00000000" w:rsidRPr="00000000">
        <w:rPr>
          <w:vertAlign w:val="baseline"/>
          <w:rtl w:val="1"/>
        </w:rPr>
        <w:t xml:space="preserve">ً –</w:t>
      </w:r>
      <w:r w:rsidDel="00000000" w:rsidR="00000000" w:rsidRPr="00000000">
        <w:rPr>
          <w:vertAlign w:val="baseline"/>
          <w:rtl w:val="1"/>
        </w:rPr>
        <w:t xml:space="preserve">صلوات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0-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والكلمات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مبلغها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الاختلاف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نداء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للرسل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واختلف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فقيل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ذاته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ومرتبة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منزه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مشابهة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مسموع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والأصوات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وقالت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حروفا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وأصواتا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مخاطب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واسطة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وجل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2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وبقية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كالمعتزلة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والخوارج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وغيرهم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وقولهم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مردود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والنقلية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جائزة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واجبة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بالنقل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بإيجاب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سأل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ؤية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عارفا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ويمتنع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ممتنعة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سألها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ينفون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*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اظ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ٌ]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وجمهور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تمسك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سبحانه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فاحتجوا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ويقولون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للرؤية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تقليب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التماسا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لرؤيته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وكالإصغاء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شزرا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غضبان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راضيا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متناظرة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متقابلة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للنظر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حاصلة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اظ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ٌ)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منتظرة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كقولك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حاجتي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مفرد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آلاء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والسمعية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التأويل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تسأل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ترغب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راه</w:t>
      </w:r>
      <w:r w:rsidDel="00000000" w:rsidR="00000000" w:rsidRPr="00000000">
        <w:rPr>
          <w:vertAlign w:val="baseline"/>
          <w:rtl w:val="1"/>
        </w:rPr>
        <w:t xml:space="preserve">ُ)، </w:t>
      </w:r>
      <w:r w:rsidDel="00000000" w:rsidR="00000000" w:rsidRPr="00000000">
        <w:rPr>
          <w:vertAlign w:val="baseline"/>
          <w:rtl w:val="1"/>
        </w:rPr>
        <w:t xml:space="preserve">والجواب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مقامان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[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تقليب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لاقتضت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والمكان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الإرادة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تقليب</w:t>
      </w:r>
      <w:r w:rsidDel="00000000" w:rsidR="00000000" w:rsidRPr="00000000">
        <w:rPr>
          <w:vertAlign w:val="baseline"/>
          <w:rtl w:val="1"/>
        </w:rPr>
        <w:t xml:space="preserve">.</w:t>
        <w:tab/>
      </w:r>
    </w:p>
    <w:p w:rsidR="00000000" w:rsidDel="00000000" w:rsidP="00000000" w:rsidRDefault="00000000" w:rsidRPr="00000000" w14:paraId="00000028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سلمنا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تقليب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للرؤية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إطلاقا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المسبب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الانتظار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الملازمة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تقليب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للرؤية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الانتظار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الانتظار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قلنا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الانتظار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مقرون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[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عيه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وروده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يستعقب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الانتظار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للاشتراك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أفعال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C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أفعال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لأفعال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والطاعة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والعصيان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بإرادته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ومشيئته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وحكمه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وقضيته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وتقديره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مخلوق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والأمر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يدخله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خالق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لأفعاله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فاعل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لأفعال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وجهين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F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للعبد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امتنع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لامتناع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بقادرين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عمله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ِ]، </w:t>
      </w:r>
      <w:r w:rsidDel="00000000" w:rsidR="00000000" w:rsidRPr="00000000">
        <w:rPr>
          <w:vertAlign w:val="baseline"/>
          <w:rtl w:val="1"/>
        </w:rPr>
        <w:t xml:space="preserve">كفاية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والهدى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ساعدت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لنفسه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جاهلا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لتحصيل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والمعرفة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ضد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والجهل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علمنا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بإيجاد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بالأنبياء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3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بالأنبياء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الطاعنين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وتفضيل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عصمة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6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الواجبة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باتفاق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معصومون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وجهين</w:t>
      </w:r>
      <w:r w:rsidDel="00000000" w:rsidR="00000000" w:rsidRPr="00000000">
        <w:rPr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37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العهد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الأمانة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فاسقا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فاعلا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للذنب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والمعصية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ينالها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يؤتم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فاسق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لنفسه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الفاسقين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الطاعنين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بعصمة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نبوتهم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الطاعنون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يخاصم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الخائن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التمسوا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طعمة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باليهودي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وانتظر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الوحي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تنبيه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اليهودي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بريء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رم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ء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ء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اعنون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C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أحدها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ذنبا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3D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وثانيهما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]،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طردهم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وثالثها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محمدا</w:t>
      </w:r>
      <w:r w:rsidDel="00000000" w:rsidR="00000000" w:rsidRPr="00000000">
        <w:rPr>
          <w:vertAlign w:val="baseline"/>
          <w:rtl w:val="1"/>
        </w:rPr>
        <w:t xml:space="preserve">ً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بمتابعة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يطردهم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ذنبا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3F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ورابعها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فنهاه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الالتفات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ذنبا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40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وخامسها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مرحبا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عاتبني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الذنب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الاستخفاف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استنكاف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لجلوسهم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سوى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يحضر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أكابر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لط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إدخالهم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ولعله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يفوتهم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يفوتهم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فأقصى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خطأ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مغفور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الظالمين</w:t>
      </w:r>
      <w:r w:rsidDel="00000000" w:rsidR="00000000" w:rsidRPr="00000000">
        <w:rPr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43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الظلم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يستحقون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التعظيم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الواجبات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الأفضل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والأكمل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والأولى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ثالثا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بالملائكة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5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ملاوكة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فقلبت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همزة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 (</w:t>
      </w:r>
      <w:r w:rsidDel="00000000" w:rsidR="00000000" w:rsidRPr="00000000">
        <w:rPr>
          <w:vertAlign w:val="baseline"/>
          <w:rtl w:val="1"/>
        </w:rPr>
        <w:t xml:space="preserve">عجائز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قليلا</w:t>
      </w:r>
      <w:r w:rsidDel="00000000" w:rsidR="00000000" w:rsidRPr="00000000">
        <w:rPr>
          <w:vertAlign w:val="baseline"/>
          <w:rtl w:val="1"/>
        </w:rPr>
        <w:t xml:space="preserve">ً (</w:t>
      </w:r>
      <w:r w:rsidDel="00000000" w:rsidR="00000000" w:rsidRPr="00000000">
        <w:rPr>
          <w:vertAlign w:val="baseline"/>
          <w:rtl w:val="1"/>
        </w:rPr>
        <w:t xml:space="preserve">مصائب</w:t>
      </w:r>
      <w:r w:rsidDel="00000000" w:rsidR="00000000" w:rsidRPr="00000000">
        <w:rPr>
          <w:vertAlign w:val="baseline"/>
          <w:rtl w:val="1"/>
        </w:rPr>
        <w:t xml:space="preserve">))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6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اختلفوا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ماهي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وحقيقتهم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والضابط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بأنفسها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متحي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زة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بمتحيزة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متح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فهاهنا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7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أحدها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أجسام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لطيفة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هوائية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التشكل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بأشكال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مسكنها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السموات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طوائف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الأوثان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الكواكب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الموصوفة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بالإسعاد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والإنح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والمنحسات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المجوس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والوثنية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أزليين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والظلمة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جوهران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شف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افان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مختاران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قادران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متضادا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والصورة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مختلفا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والتدبير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فجوهر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يضر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وينفع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يمنع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ويحيا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وجوهر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الظلمة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الأولياء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ناكح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والضوء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المضيء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وجوهر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الأعداء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الشياطين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التناكح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بأنفسها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بمتحي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زة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بأجسام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فهاهنا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قولان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D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طوائف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صارى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اطقة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المفارقة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لأبدانها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والخيرية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المفارقة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خبيثة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الشياطين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الفلاسفة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بأنفسها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وليست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بمتحيزة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البتة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بالماهية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لأنواع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الناطقة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البشرية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الناطقة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البشرية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الأضواء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قسمين</w:t>
      </w:r>
      <w:r w:rsidDel="00000000" w:rsidR="00000000" w:rsidRPr="00000000">
        <w:rPr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4F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أجرام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الأفلاك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والكواكب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كنفوسنا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الناطقة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أبداننا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الأفلاك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مستغرقة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ومحبته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ومشتغلة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بطاعته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المقربون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ونسبتهم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يدبرون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السموات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المدبرون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نفوسنا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الناطقة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فهذان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الفلاسفة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إثباتهما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أنواعا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المدبرة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لأحوال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السفلي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المدبرات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خيرة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الشياطين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0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رابعا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بالصحابة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جميعا</w:t>
      </w:r>
      <w:r w:rsidDel="00000000" w:rsidR="00000000" w:rsidRPr="00000000">
        <w:rPr>
          <w:vertAlign w:val="baseline"/>
          <w:rtl w:val="1"/>
        </w:rPr>
        <w:t xml:space="preserve">ً-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ينالون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051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الصديق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الطاعنين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الطاعنين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الصديق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وطعن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الروافض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اثنين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رابعا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والكافر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53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بارد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والتدبير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مطلعا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ِ] </w:t>
      </w:r>
      <w:r w:rsidDel="00000000" w:rsidR="00000000" w:rsidRPr="00000000">
        <w:rPr>
          <w:vertAlign w:val="baseline"/>
          <w:rtl w:val="1"/>
        </w:rPr>
        <w:t xml:space="preserve">تخصيصه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التعظيم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خامسا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بالسمعيات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5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علامات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الشفاعة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يخلدون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صغيرا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مخلوقتان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بالأديان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والفرق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7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توسع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اعتقاد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والجماعة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9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ورودا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آرائهم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الكلامية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تبلور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الاعتزالي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قيادتها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تمثلت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حذيفة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الغزال</w:t>
      </w:r>
      <w:r w:rsidDel="00000000" w:rsidR="00000000" w:rsidRPr="00000000">
        <w:rPr>
          <w:vertAlign w:val="baseline"/>
          <w:rtl w:val="1"/>
        </w:rPr>
        <w:t xml:space="preserve"> (80-131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مجلس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الخوارج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مرتكب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منافق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جديدا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فاسق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مجلسه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فسمي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وأصحابه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معتزلة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المرجئة</w:t>
      </w:r>
    </w:p>
    <w:p w:rsidR="00000000" w:rsidDel="00000000" w:rsidP="00000000" w:rsidRDefault="00000000" w:rsidRPr="00000000" w14:paraId="0000005B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والإرجاء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الارتباط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والإيمان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معصية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آراء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المرجئة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الكلامية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ثالثا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الخوارج</w:t>
      </w:r>
    </w:p>
    <w:p w:rsidR="00000000" w:rsidDel="00000000" w:rsidP="00000000" w:rsidRDefault="00000000" w:rsidRPr="00000000" w14:paraId="0000005E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الخوارج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لخروجهم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وانتزاع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طاعته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آرائهم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المبتدعة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رابعا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الجبرية</w:t>
      </w:r>
    </w:p>
    <w:p w:rsidR="00000000" w:rsidDel="00000000" w:rsidP="00000000" w:rsidRDefault="00000000" w:rsidRPr="00000000" w14:paraId="00000060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الجبر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وإضافته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أحوالهم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المنحرفة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الثامن</w:t>
      </w:r>
    </w:p>
    <w:p w:rsidR="00000000" w:rsidDel="00000000" w:rsidP="00000000" w:rsidRDefault="00000000" w:rsidRPr="00000000" w14:paraId="0000006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6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</w:p>
    <w:p w:rsidR="00000000" w:rsidDel="00000000" w:rsidP="00000000" w:rsidRDefault="00000000" w:rsidRPr="00000000" w14:paraId="00000069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لابد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وقفة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امتاز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مآخذ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أمامنا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محاسن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:</w:t>
      </w:r>
    </w:p>
    <w:p w:rsidR="00000000" w:rsidDel="00000000" w:rsidP="00000000" w:rsidRDefault="00000000" w:rsidRPr="00000000" w14:paraId="0000006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لاحظ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مدرستي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الاختصاص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واستخدام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الاستنباط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التحلي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بالوصفين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الأصناف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ومما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امتاز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مسبوكة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دقيقة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يعد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ملخصا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لمجموعة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كالكشاف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…).</w:t>
      </w:r>
    </w:p>
    <w:p w:rsidR="00000000" w:rsidDel="00000000" w:rsidP="00000000" w:rsidRDefault="00000000" w:rsidRPr="00000000" w14:paraId="0000006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اهتم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التناسب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المهتمون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</w:t>
      </w:r>
      <w:r w:rsidDel="00000000" w:rsidR="00000000" w:rsidRPr="00000000">
        <w:rPr>
          <w:vertAlign w:val="baseline"/>
          <w:rtl w:val="1"/>
        </w:rPr>
        <w:t xml:space="preserve">واهتم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كالنحو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والصرف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والبلاغة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وغيرها</w:t>
      </w:r>
      <w:r w:rsidDel="00000000" w:rsidR="00000000" w:rsidRPr="00000000">
        <w:rPr>
          <w:vertAlign w:val="baseline"/>
          <w:rtl w:val="1"/>
        </w:rPr>
        <w:t xml:space="preserve">…</w:t>
      </w:r>
    </w:p>
    <w:p w:rsidR="00000000" w:rsidDel="00000000" w:rsidP="00000000" w:rsidRDefault="00000000" w:rsidRPr="00000000" w14:paraId="0000007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6-</w:t>
      </w:r>
      <w:r w:rsidDel="00000000" w:rsidR="00000000" w:rsidRPr="00000000">
        <w:rPr>
          <w:vertAlign w:val="baseline"/>
          <w:rtl w:val="1"/>
        </w:rPr>
        <w:t xml:space="preserve">احتوائه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7-</w:t>
      </w:r>
      <w:r w:rsidDel="00000000" w:rsidR="00000000" w:rsidRPr="00000000">
        <w:rPr>
          <w:vertAlign w:val="baseline"/>
          <w:rtl w:val="1"/>
        </w:rPr>
        <w:t xml:space="preserve">امتاز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السابقين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8-</w:t>
      </w:r>
      <w:r w:rsidDel="00000000" w:rsidR="00000000" w:rsidRPr="00000000">
        <w:rPr>
          <w:vertAlign w:val="baseline"/>
          <w:rtl w:val="1"/>
        </w:rPr>
        <w:t xml:space="preserve">امتاز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9-</w:t>
      </w:r>
      <w:r w:rsidDel="00000000" w:rsidR="00000000" w:rsidRPr="00000000">
        <w:rPr>
          <w:vertAlign w:val="baseline"/>
          <w:rtl w:val="1"/>
        </w:rPr>
        <w:t xml:space="preserve">احتوائه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والأصولية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10-</w:t>
      </w:r>
      <w:r w:rsidDel="00000000" w:rsidR="00000000" w:rsidRPr="00000000">
        <w:rPr>
          <w:vertAlign w:val="baseline"/>
          <w:rtl w:val="1"/>
        </w:rPr>
        <w:t xml:space="preserve">امتاز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تعصبه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لمذهبه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11-</w:t>
      </w:r>
      <w:r w:rsidDel="00000000" w:rsidR="00000000" w:rsidRPr="00000000">
        <w:rPr>
          <w:vertAlign w:val="baseline"/>
          <w:rtl w:val="1"/>
        </w:rPr>
        <w:t xml:space="preserve">احتوائه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والجامعة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الأخرى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6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سجلت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الماآخذ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7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ورود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9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اشتهروا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مؤلفاتهم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مؤلفاتهم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لمحتويات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7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أثره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التفاسير</w:t>
      </w:r>
    </w:p>
    <w:p w:rsidR="00000000" w:rsidDel="00000000" w:rsidP="00000000" w:rsidRDefault="00000000" w:rsidRPr="00000000" w14:paraId="0000007D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تتضح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متأثرين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فاستخلص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لكتابه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نفائس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حلقة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سبقوه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مصدرا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تفاسيرهم</w:t>
      </w:r>
      <w:r w:rsidDel="00000000" w:rsidR="00000000" w:rsidRPr="00000000">
        <w:rPr>
          <w:vertAlign w:val="baseline"/>
          <w:rtl w:val="1"/>
        </w:rPr>
        <w:t xml:space="preserve">) ، (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وتوجيهها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(129) </w:t>
      </w:r>
      <w:r w:rsidDel="00000000" w:rsidR="00000000" w:rsidRPr="00000000">
        <w:rPr>
          <w:vertAlign w:val="baseline"/>
          <w:rtl w:val="1"/>
        </w:rPr>
        <w:t xml:space="preserve">موضوعا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القاضي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زكريا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926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حاشيته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الآلوسي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baseline"/>
          <w:rtl w:val="0"/>
        </w:rPr>
        <w:t xml:space="preserve">،….</w:t>
      </w:r>
    </w:p>
    <w:p w:rsidR="00000000" w:rsidDel="00000000" w:rsidP="00000000" w:rsidRDefault="00000000" w:rsidRPr="00000000" w14:paraId="0000007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المصادر</w:t>
      </w:r>
    </w:p>
    <w:p w:rsidR="00000000" w:rsidDel="00000000" w:rsidP="00000000" w:rsidRDefault="00000000" w:rsidRPr="00000000" w14:paraId="0000008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الأشعري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الأشعرية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324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2/203-205.</w:t>
      </w:r>
    </w:p>
    <w:p w:rsidR="00000000" w:rsidDel="00000000" w:rsidP="00000000" w:rsidRDefault="00000000" w:rsidRPr="00000000" w14:paraId="0000008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الأصمعي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الأصمعي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الباهلي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راوية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والشعر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والبلدان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216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نزهة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الألباء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الأدباء</w:t>
      </w:r>
      <w:r w:rsidDel="00000000" w:rsidR="00000000" w:rsidRPr="00000000">
        <w:rPr>
          <w:vertAlign w:val="baseline"/>
          <w:rtl w:val="1"/>
        </w:rPr>
        <w:t xml:space="preserve"> : 90-101.</w:t>
      </w:r>
    </w:p>
    <w:p w:rsidR="00000000" w:rsidDel="00000000" w:rsidP="00000000" w:rsidRDefault="00000000" w:rsidRPr="00000000" w14:paraId="0000008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أنباء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الرواة</w:t>
      </w:r>
      <w:r w:rsidDel="00000000" w:rsidR="00000000" w:rsidRPr="00000000">
        <w:rPr>
          <w:vertAlign w:val="baseline"/>
          <w:rtl w:val="1"/>
        </w:rPr>
        <w:t xml:space="preserve"> : 2/197-250،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4/380.</w:t>
      </w:r>
    </w:p>
    <w:p w:rsidR="00000000" w:rsidDel="00000000" w:rsidP="00000000" w:rsidRDefault="00000000" w:rsidRPr="00000000" w14:paraId="0000008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الأعرابي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المؤرخ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340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نزهة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الألباء</w:t>
      </w:r>
      <w:r w:rsidDel="00000000" w:rsidR="00000000" w:rsidRPr="00000000">
        <w:rPr>
          <w:vertAlign w:val="baseline"/>
          <w:rtl w:val="1"/>
        </w:rPr>
        <w:t xml:space="preserve"> : 119-123،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1/199.</w:t>
      </w:r>
    </w:p>
    <w:p w:rsidR="00000000" w:rsidDel="00000000" w:rsidP="00000000" w:rsidRDefault="00000000" w:rsidRPr="00000000" w14:paraId="0000008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الأعمش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سليمان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مهران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الأزدي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تابعي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ومنشأه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بالكوفة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والفرائض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148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9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خلاصة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تذهيب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الرجال</w:t>
      </w:r>
      <w:r w:rsidDel="00000000" w:rsidR="00000000" w:rsidRPr="00000000">
        <w:rPr>
          <w:vertAlign w:val="baseline"/>
          <w:rtl w:val="1"/>
        </w:rPr>
        <w:t xml:space="preserve"> : 155،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3/198.</w:t>
      </w:r>
    </w:p>
    <w:p w:rsidR="00000000" w:rsidDel="00000000" w:rsidP="00000000" w:rsidRDefault="00000000" w:rsidRPr="00000000" w14:paraId="0000008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</w:t>
      </w:r>
      <w:r w:rsidDel="00000000" w:rsidR="00000000" w:rsidRPr="00000000">
        <w:rPr>
          <w:vertAlign w:val="baseline"/>
          <w:rtl w:val="1"/>
        </w:rPr>
        <w:t xml:space="preserve">الأوزاعي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الأوزاعي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158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بيروت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6/242، </w:t>
      </w:r>
      <w:r w:rsidDel="00000000" w:rsidR="00000000" w:rsidRPr="00000000">
        <w:rPr>
          <w:vertAlign w:val="baseline"/>
          <w:rtl w:val="1"/>
        </w:rPr>
        <w:t xml:space="preserve">خلاصة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تذهيب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الكمال</w:t>
      </w:r>
      <w:r w:rsidDel="00000000" w:rsidR="00000000" w:rsidRPr="00000000">
        <w:rPr>
          <w:vertAlign w:val="baseline"/>
          <w:rtl w:val="1"/>
        </w:rPr>
        <w:t xml:space="preserve"> : 234.</w:t>
      </w:r>
    </w:p>
    <w:p w:rsidR="00000000" w:rsidDel="00000000" w:rsidP="00000000" w:rsidRDefault="00000000" w:rsidRPr="00000000" w14:paraId="0000008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6-</w:t>
      </w:r>
      <w:r w:rsidDel="00000000" w:rsidR="00000000" w:rsidRPr="00000000">
        <w:rPr>
          <w:vertAlign w:val="baseline"/>
          <w:rtl w:val="1"/>
        </w:rPr>
        <w:t xml:space="preserve">البغوي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الحسين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البغوي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ومحدث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خراسان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بمحيي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510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الروف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1/157-158، </w:t>
      </w:r>
      <w:r w:rsidDel="00000000" w:rsidR="00000000" w:rsidRPr="00000000">
        <w:rPr>
          <w:vertAlign w:val="baseline"/>
          <w:rtl w:val="1"/>
        </w:rPr>
        <w:t xml:space="preserve">البغوي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: 29-48.</w:t>
      </w:r>
    </w:p>
    <w:p w:rsidR="00000000" w:rsidDel="00000000" w:rsidP="00000000" w:rsidRDefault="00000000" w:rsidRPr="00000000" w14:paraId="0000008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7-</w:t>
      </w:r>
      <w:r w:rsidDel="00000000" w:rsidR="00000000" w:rsidRPr="00000000">
        <w:rPr>
          <w:vertAlign w:val="baseline"/>
          <w:rtl w:val="1"/>
        </w:rPr>
        <w:t xml:space="preserve">البلقيني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سراج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الكناني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العسقلاني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مجتهد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حافظ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805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8-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المعامزي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الأشبيلي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المالكي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رتبه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الاجتهاد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مصنفات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بفاس</w:t>
      </w:r>
      <w:r w:rsidDel="00000000" w:rsidR="00000000" w:rsidRPr="00000000">
        <w:rPr>
          <w:vertAlign w:val="baseline"/>
          <w:rtl w:val="1"/>
        </w:rPr>
        <w:t xml:space="preserve"> 543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2/162-166،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7/106.</w:t>
      </w:r>
    </w:p>
    <w:p w:rsidR="00000000" w:rsidDel="00000000" w:rsidP="00000000" w:rsidRDefault="00000000" w:rsidRPr="00000000" w14:paraId="0000009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9-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البيضا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ومفسر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685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الأرجح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1/242،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5/392،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: 12-21.</w:t>
      </w:r>
    </w:p>
    <w:p w:rsidR="00000000" w:rsidDel="00000000" w:rsidP="00000000" w:rsidRDefault="00000000" w:rsidRPr="00000000" w14:paraId="0000009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10-</w:t>
      </w:r>
      <w:r w:rsidDel="00000000" w:rsidR="00000000" w:rsidRPr="00000000">
        <w:rPr>
          <w:vertAlign w:val="baseline"/>
          <w:rtl w:val="1"/>
        </w:rPr>
        <w:t xml:space="preserve">التفازاني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التفتازاني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والمنطق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791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2/319،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6/319، </w:t>
      </w:r>
      <w:r w:rsidDel="00000000" w:rsidR="00000000" w:rsidRPr="00000000">
        <w:rPr>
          <w:vertAlign w:val="baseline"/>
          <w:rtl w:val="1"/>
        </w:rPr>
        <w:t xml:space="preserve">البدر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الطالع</w:t>
      </w:r>
      <w:r w:rsidDel="00000000" w:rsidR="00000000" w:rsidRPr="00000000">
        <w:rPr>
          <w:vertAlign w:val="baseline"/>
          <w:rtl w:val="1"/>
        </w:rPr>
        <w:t xml:space="preserve"> : 2/303،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8/113.</w:t>
      </w:r>
    </w:p>
    <w:p w:rsidR="00000000" w:rsidDel="00000000" w:rsidP="00000000" w:rsidRDefault="00000000" w:rsidRPr="00000000" w14:paraId="0000009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11-</w:t>
      </w:r>
      <w:r w:rsidDel="00000000" w:rsidR="00000000" w:rsidRPr="00000000">
        <w:rPr>
          <w:vertAlign w:val="baseline"/>
          <w:rtl w:val="1"/>
        </w:rPr>
        <w:t xml:space="preserve">الثعالبي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مخلوف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الثعالبي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وصلحائها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الأبرار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وتركيا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علمائها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يسمى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الجواهر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875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الضوء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اللامع</w:t>
      </w:r>
      <w:r w:rsidDel="00000000" w:rsidR="00000000" w:rsidRPr="00000000">
        <w:rPr>
          <w:vertAlign w:val="baseline"/>
          <w:rtl w:val="1"/>
        </w:rPr>
        <w:t xml:space="preserve"> : 4/152، </w:t>
      </w:r>
      <w:r w:rsidDel="00000000" w:rsidR="00000000" w:rsidRPr="00000000">
        <w:rPr>
          <w:vertAlign w:val="baseline"/>
          <w:rtl w:val="1"/>
        </w:rPr>
        <w:t xml:space="preserve">هدية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العارفين</w:t>
      </w:r>
      <w:r w:rsidDel="00000000" w:rsidR="00000000" w:rsidRPr="00000000">
        <w:rPr>
          <w:vertAlign w:val="baseline"/>
          <w:rtl w:val="1"/>
        </w:rPr>
        <w:t xml:space="preserve"> : 1/532، </w:t>
      </w:r>
      <w:r w:rsidDel="00000000" w:rsidR="00000000" w:rsidRPr="00000000">
        <w:rPr>
          <w:vertAlign w:val="baseline"/>
          <w:rtl w:val="1"/>
        </w:rPr>
        <w:t xml:space="preserve">إيضاح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المكنون</w:t>
      </w:r>
      <w:r w:rsidDel="00000000" w:rsidR="00000000" w:rsidRPr="00000000">
        <w:rPr>
          <w:vertAlign w:val="baseline"/>
          <w:rtl w:val="1"/>
        </w:rPr>
        <w:t xml:space="preserve"> : 1/239،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المؤلفين</w:t>
      </w:r>
      <w:r w:rsidDel="00000000" w:rsidR="00000000" w:rsidRPr="00000000">
        <w:rPr>
          <w:vertAlign w:val="baseline"/>
          <w:rtl w:val="1"/>
        </w:rPr>
        <w:t xml:space="preserve"> : 5/192،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1/276،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4/107.</w:t>
      </w:r>
    </w:p>
    <w:p w:rsidR="00000000" w:rsidDel="00000000" w:rsidP="00000000" w:rsidRDefault="00000000" w:rsidRPr="00000000" w14:paraId="0000009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12-</w:t>
      </w:r>
      <w:r w:rsidDel="00000000" w:rsidR="00000000" w:rsidRPr="00000000">
        <w:rPr>
          <w:vertAlign w:val="baseline"/>
          <w:rtl w:val="1"/>
        </w:rPr>
        <w:t xml:space="preserve">الجاحظ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محبوب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الكناني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الليثي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الشهير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بالجاحظ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255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4/305.</w:t>
      </w:r>
    </w:p>
    <w:p w:rsidR="00000000" w:rsidDel="00000000" w:rsidP="00000000" w:rsidRDefault="00000000" w:rsidRPr="00000000" w14:paraId="00000099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13-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جريج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جريج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صنف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التصانيف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150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4/305.</w:t>
      </w:r>
    </w:p>
    <w:p w:rsidR="00000000" w:rsidDel="00000000" w:rsidP="00000000" w:rsidRDefault="00000000" w:rsidRPr="00000000" w14:paraId="0000009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14-</w:t>
      </w:r>
      <w:r w:rsidDel="00000000" w:rsidR="00000000" w:rsidRPr="00000000">
        <w:rPr>
          <w:vertAlign w:val="baseline"/>
          <w:rtl w:val="1"/>
        </w:rPr>
        <w:t xml:space="preserve">الجصاص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أكابر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امتنع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انتهت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رئاسة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370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1/165.</w:t>
      </w:r>
    </w:p>
    <w:p w:rsidR="00000000" w:rsidDel="00000000" w:rsidP="00000000" w:rsidRDefault="00000000" w:rsidRPr="00000000" w14:paraId="0000009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15-</w:t>
      </w:r>
      <w:r w:rsidDel="00000000" w:rsidR="00000000" w:rsidRPr="00000000">
        <w:rPr>
          <w:vertAlign w:val="baseline"/>
          <w:rtl w:val="1"/>
        </w:rPr>
        <w:t xml:space="preserve">جلال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السيوطي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اشتهر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المعارف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وصنف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شتى</w:t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وأصول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مبرزا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911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الضوء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اللامع</w:t>
      </w:r>
      <w:r w:rsidDel="00000000" w:rsidR="00000000" w:rsidRPr="00000000">
        <w:rPr>
          <w:vertAlign w:val="baseline"/>
          <w:rtl w:val="1"/>
        </w:rPr>
        <w:t xml:space="preserve"> : 2/488،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8/51.</w:t>
      </w:r>
    </w:p>
    <w:p w:rsidR="00000000" w:rsidDel="00000000" w:rsidP="00000000" w:rsidRDefault="00000000" w:rsidRPr="00000000" w14:paraId="0000009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16-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الجوزي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الجوزي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البغدادي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والتاريخ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التصانيف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ببغداد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597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4/89.</w:t>
      </w:r>
    </w:p>
    <w:p w:rsidR="00000000" w:rsidDel="00000000" w:rsidP="00000000" w:rsidRDefault="00000000" w:rsidRPr="00000000" w14:paraId="000000A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17-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العسقلاني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الفضل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الكناني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العسقلاني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شارح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وحافظ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852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الضوء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اللامع</w:t>
      </w:r>
      <w:r w:rsidDel="00000000" w:rsidR="00000000" w:rsidRPr="00000000">
        <w:rPr>
          <w:vertAlign w:val="baseline"/>
          <w:rtl w:val="1"/>
        </w:rPr>
        <w:t xml:space="preserve"> : 2/36،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7/70،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1/173.</w:t>
      </w:r>
    </w:p>
    <w:p w:rsidR="00000000" w:rsidDel="00000000" w:rsidP="00000000" w:rsidRDefault="00000000" w:rsidRPr="00000000" w14:paraId="000000A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18-</w:t>
      </w:r>
      <w:r w:rsidDel="00000000" w:rsidR="00000000" w:rsidRPr="00000000">
        <w:rPr>
          <w:vertAlign w:val="baseline"/>
          <w:rtl w:val="1"/>
        </w:rPr>
        <w:t xml:space="preserve">الحوفي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الشيمي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البغدادي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الطوفي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خازن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بالسمياساطية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741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1/422-423،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6/131،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5/156.</w:t>
      </w:r>
    </w:p>
    <w:p w:rsidR="00000000" w:rsidDel="00000000" w:rsidP="00000000" w:rsidRDefault="00000000" w:rsidRPr="00000000" w14:paraId="000000A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19-</w:t>
      </w:r>
      <w:r w:rsidDel="00000000" w:rsidR="00000000" w:rsidRPr="00000000">
        <w:rPr>
          <w:vertAlign w:val="baseline"/>
          <w:rtl w:val="1"/>
        </w:rPr>
        <w:t xml:space="preserve">الخطابي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سليمان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البستي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ومحدث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388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2/304.</w:t>
      </w:r>
    </w:p>
    <w:p w:rsidR="00000000" w:rsidDel="00000000" w:rsidP="00000000" w:rsidRDefault="00000000" w:rsidRPr="00000000" w14:paraId="000000A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20-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البغدادي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البغدادي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المؤرخين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المقدمين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463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1/166.</w:t>
      </w:r>
    </w:p>
    <w:p w:rsidR="00000000" w:rsidDel="00000000" w:rsidP="00000000" w:rsidRDefault="00000000" w:rsidRPr="00000000" w14:paraId="000000A9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21-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الظاهري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سليمان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الأصبهاني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الملقب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الظاهري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المجتهدين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الظاهري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3/8.</w:t>
      </w:r>
    </w:p>
    <w:p w:rsidR="00000000" w:rsidDel="00000000" w:rsidP="00000000" w:rsidRDefault="00000000" w:rsidRPr="00000000" w14:paraId="000000A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22-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خيرستان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ومولده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أشهرها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المسمى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مفاتيح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606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7/203.</w:t>
      </w:r>
    </w:p>
    <w:p w:rsidR="00000000" w:rsidDel="00000000" w:rsidP="00000000" w:rsidRDefault="00000000" w:rsidRPr="00000000" w14:paraId="000000A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23-</w:t>
      </w:r>
      <w:r w:rsidDel="00000000" w:rsidR="00000000" w:rsidRPr="00000000">
        <w:rPr>
          <w:vertAlign w:val="baseline"/>
          <w:rtl w:val="1"/>
        </w:rPr>
        <w:t xml:space="preserve">الراغب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الأصبهاني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القاسم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الحسين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المفضل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أديب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حكيم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أصبهان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اشتهر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بالغزالي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502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2/279،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1/158.</w:t>
      </w:r>
    </w:p>
    <w:p w:rsidR="00000000" w:rsidDel="00000000" w:rsidP="00000000" w:rsidRDefault="00000000" w:rsidRPr="00000000" w14:paraId="000000A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24-</w:t>
      </w:r>
      <w:r w:rsidDel="00000000" w:rsidR="00000000" w:rsidRPr="00000000">
        <w:rPr>
          <w:vertAlign w:val="baseline"/>
          <w:rtl w:val="1"/>
        </w:rPr>
        <w:t xml:space="preserve">الروياني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الروياني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الملقب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5-2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324.</w:t>
      </w:r>
    </w:p>
    <w:p w:rsidR="00000000" w:rsidDel="00000000" w:rsidP="00000000" w:rsidRDefault="00000000" w:rsidRPr="00000000" w14:paraId="000000B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25-</w:t>
      </w:r>
      <w:r w:rsidDel="00000000" w:rsidR="00000000" w:rsidRPr="00000000">
        <w:rPr>
          <w:vertAlign w:val="baseline"/>
          <w:rtl w:val="1"/>
        </w:rPr>
        <w:t xml:space="preserve">الزجاج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إسحاق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الزجاج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مفسر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نحوي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لغوي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311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نزهة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الألباء</w:t>
      </w:r>
      <w:r w:rsidDel="00000000" w:rsidR="00000000" w:rsidRPr="00000000">
        <w:rPr>
          <w:vertAlign w:val="baseline"/>
          <w:rtl w:val="1"/>
        </w:rPr>
        <w:t xml:space="preserve"> 183-185، </w:t>
      </w:r>
      <w:r w:rsidDel="00000000" w:rsidR="00000000" w:rsidRPr="00000000">
        <w:rPr>
          <w:vertAlign w:val="baseline"/>
          <w:rtl w:val="1"/>
        </w:rPr>
        <w:t xml:space="preserve">بغية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الوعاة</w:t>
      </w:r>
      <w:r w:rsidDel="00000000" w:rsidR="00000000" w:rsidRPr="00000000">
        <w:rPr>
          <w:vertAlign w:val="baseline"/>
          <w:rtl w:val="1"/>
        </w:rPr>
        <w:t xml:space="preserve"> : 1/5411،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1/7.</w:t>
      </w:r>
    </w:p>
    <w:p w:rsidR="00000000" w:rsidDel="00000000" w:rsidP="00000000" w:rsidRDefault="00000000" w:rsidRPr="00000000" w14:paraId="000000B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26-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القاسم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محمود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الخوارزمي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المغزي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مفسر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حنفي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يلقب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538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2/314-316،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23-42.</w:t>
      </w:r>
    </w:p>
    <w:p w:rsidR="00000000" w:rsidDel="00000000" w:rsidP="00000000" w:rsidRDefault="00000000" w:rsidRPr="00000000" w14:paraId="000000B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27-</w:t>
      </w:r>
      <w:r w:rsidDel="00000000" w:rsidR="00000000" w:rsidRPr="00000000">
        <w:rPr>
          <w:vertAlign w:val="baseline"/>
          <w:rtl w:val="1"/>
        </w:rPr>
        <w:t xml:space="preserve">الزهري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الزهري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تابعي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مشهور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125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9/445، </w:t>
      </w:r>
      <w:r w:rsidDel="00000000" w:rsidR="00000000" w:rsidRPr="00000000">
        <w:rPr>
          <w:vertAlign w:val="baseline"/>
          <w:rtl w:val="1"/>
        </w:rPr>
        <w:t xml:space="preserve">تقريب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337.</w:t>
      </w:r>
    </w:p>
    <w:p w:rsidR="00000000" w:rsidDel="00000000" w:rsidP="00000000" w:rsidRDefault="00000000" w:rsidRPr="00000000" w14:paraId="000000B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28-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الخدري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الصحابي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الجليل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المكثرين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74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الأصابة</w:t>
      </w:r>
      <w:r w:rsidDel="00000000" w:rsidR="00000000" w:rsidRPr="00000000">
        <w:rPr>
          <w:vertAlign w:val="baseline"/>
          <w:rtl w:val="1"/>
        </w:rPr>
        <w:t xml:space="preserve"> : 2/35،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3/479،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81/1.</w:t>
      </w:r>
    </w:p>
    <w:p w:rsidR="00000000" w:rsidDel="00000000" w:rsidP="00000000" w:rsidRDefault="00000000" w:rsidRPr="00000000" w14:paraId="000000B9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29-</w:t>
      </w:r>
      <w:r w:rsidDel="00000000" w:rsidR="00000000" w:rsidRPr="00000000">
        <w:rPr>
          <w:vertAlign w:val="baseline"/>
          <w:rtl w:val="1"/>
        </w:rPr>
        <w:t xml:space="preserve">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الثوري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مسروق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الثوري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161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: 4/111.</w:t>
      </w:r>
    </w:p>
    <w:p w:rsidR="00000000" w:rsidDel="00000000" w:rsidP="00000000" w:rsidRDefault="00000000" w:rsidRPr="00000000" w14:paraId="000000B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30-</w:t>
      </w:r>
      <w:r w:rsidDel="00000000" w:rsidR="00000000" w:rsidRPr="00000000">
        <w:rPr>
          <w:vertAlign w:val="baseline"/>
          <w:rtl w:val="1"/>
        </w:rPr>
        <w:t xml:space="preserve">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عيينة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عيينة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ميمون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الهلالي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الفقيه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198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4/187، </w:t>
      </w:r>
      <w:r w:rsidDel="00000000" w:rsidR="00000000" w:rsidRPr="00000000">
        <w:rPr>
          <w:vertAlign w:val="baseline"/>
          <w:rtl w:val="1"/>
        </w:rPr>
        <w:t xml:space="preserve">تقريب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151.</w:t>
      </w:r>
    </w:p>
    <w:p w:rsidR="00000000" w:rsidDel="00000000" w:rsidP="00000000" w:rsidRDefault="00000000" w:rsidRPr="00000000" w14:paraId="000000B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31-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قنبر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المعروف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180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نزهة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الألباء</w:t>
      </w:r>
      <w:r w:rsidDel="00000000" w:rsidR="00000000" w:rsidRPr="00000000">
        <w:rPr>
          <w:vertAlign w:val="baseline"/>
          <w:rtl w:val="1"/>
        </w:rPr>
        <w:t xml:space="preserve"> : 54-58، </w:t>
      </w:r>
      <w:r w:rsidDel="00000000" w:rsidR="00000000" w:rsidRPr="00000000">
        <w:rPr>
          <w:vertAlign w:val="baseline"/>
          <w:rtl w:val="1"/>
        </w:rPr>
        <w:t xml:space="preserve">بغية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الوعاة</w:t>
      </w:r>
      <w:r w:rsidDel="00000000" w:rsidR="00000000" w:rsidRPr="00000000">
        <w:rPr>
          <w:vertAlign w:val="baseline"/>
          <w:rtl w:val="1"/>
        </w:rPr>
        <w:t xml:space="preserve"> : 2/229.</w:t>
      </w:r>
    </w:p>
    <w:p w:rsidR="00000000" w:rsidDel="00000000" w:rsidP="00000000" w:rsidRDefault="00000000" w:rsidRPr="00000000" w14:paraId="000000B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32-</w:t>
      </w:r>
      <w:r w:rsidDel="00000000" w:rsidR="00000000" w:rsidRPr="00000000">
        <w:rPr>
          <w:vertAlign w:val="baseline"/>
          <w:rtl w:val="1"/>
        </w:rPr>
        <w:t xml:space="preserve">شريح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القاضي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شريح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الحارث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الكندي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الكوفي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القاضي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صحبته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والمشهور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ولكنه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78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الإصابة</w:t>
      </w:r>
      <w:r w:rsidDel="00000000" w:rsidR="00000000" w:rsidRPr="00000000">
        <w:rPr>
          <w:vertAlign w:val="baseline"/>
          <w:rtl w:val="1"/>
        </w:rPr>
        <w:t xml:space="preserve"> : 2/146.</w:t>
      </w:r>
    </w:p>
    <w:p w:rsidR="00000000" w:rsidDel="00000000" w:rsidP="00000000" w:rsidRDefault="00000000" w:rsidRPr="00000000" w14:paraId="000000C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33-</w:t>
      </w:r>
      <w:r w:rsidDel="00000000" w:rsidR="00000000" w:rsidRPr="00000000">
        <w:rPr>
          <w:vertAlign w:val="baseline"/>
          <w:rtl w:val="1"/>
        </w:rPr>
        <w:t xml:space="preserve">الطحاك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غزرب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الأزدي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الأشعري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الدمشقي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ثقاة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دمشق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العزيز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105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4/446.</w:t>
      </w:r>
    </w:p>
    <w:p w:rsidR="00000000" w:rsidDel="00000000" w:rsidP="00000000" w:rsidRDefault="00000000" w:rsidRPr="00000000" w14:paraId="000000C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34-</w:t>
      </w:r>
      <w:r w:rsidDel="00000000" w:rsidR="00000000" w:rsidRPr="00000000">
        <w:rPr>
          <w:vertAlign w:val="baseline"/>
          <w:rtl w:val="1"/>
        </w:rPr>
        <w:t xml:space="preserve">طاووس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اليماني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أكابر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والزهد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والورع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لائم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105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5/8، </w:t>
      </w:r>
      <w:r w:rsidDel="00000000" w:rsidR="00000000" w:rsidRPr="00000000">
        <w:rPr>
          <w:vertAlign w:val="baseline"/>
          <w:rtl w:val="1"/>
        </w:rPr>
        <w:t xml:space="preserve">تقريب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188،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3/322.</w:t>
      </w:r>
    </w:p>
    <w:p w:rsidR="00000000" w:rsidDel="00000000" w:rsidP="00000000" w:rsidRDefault="00000000" w:rsidRPr="00000000" w14:paraId="000000C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35-</w:t>
      </w:r>
      <w:r w:rsidDel="00000000" w:rsidR="00000000" w:rsidRPr="00000000">
        <w:rPr>
          <w:vertAlign w:val="baseline"/>
          <w:rtl w:val="1"/>
        </w:rPr>
        <w:t xml:space="preserve">الطبري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مجتهد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310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2/106-114،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2/260.</w:t>
      </w:r>
    </w:p>
    <w:p w:rsidR="00000000" w:rsidDel="00000000" w:rsidP="00000000" w:rsidRDefault="00000000" w:rsidRPr="00000000" w14:paraId="000000C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36-</w:t>
      </w:r>
      <w:r w:rsidDel="00000000" w:rsidR="00000000" w:rsidRPr="00000000">
        <w:rPr>
          <w:vertAlign w:val="baseline"/>
          <w:rtl w:val="1"/>
        </w:rPr>
        <w:t xml:space="preserve">عاصم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عاصم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بالكوفة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129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1/5175، </w:t>
      </w:r>
      <w:r w:rsidDel="00000000" w:rsidR="00000000" w:rsidRPr="00000000">
        <w:rPr>
          <w:vertAlign w:val="baseline"/>
          <w:rtl w:val="1"/>
        </w:rPr>
        <w:t xml:space="preserve">النشر</w:t>
      </w:r>
      <w:r w:rsidDel="00000000" w:rsidR="00000000" w:rsidRPr="00000000">
        <w:rPr>
          <w:vertAlign w:val="baseline"/>
          <w:rtl w:val="1"/>
        </w:rPr>
        <w:t xml:space="preserve"> : 1/155، </w:t>
      </w:r>
      <w:r w:rsidDel="00000000" w:rsidR="00000000" w:rsidRPr="00000000">
        <w:rPr>
          <w:vertAlign w:val="baseline"/>
          <w:rtl w:val="1"/>
        </w:rPr>
        <w:t xml:space="preserve">المغني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: 1/29-31.</w:t>
      </w:r>
    </w:p>
    <w:p w:rsidR="00000000" w:rsidDel="00000000" w:rsidP="00000000" w:rsidRDefault="00000000" w:rsidRPr="00000000" w14:paraId="000000C9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37-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الجرجاني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جرجان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471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4/174.</w:t>
      </w:r>
    </w:p>
    <w:p w:rsidR="00000000" w:rsidDel="00000000" w:rsidP="00000000" w:rsidRDefault="00000000" w:rsidRPr="00000000" w14:paraId="000000C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38-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الغرناطي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مفسر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عارف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بالأحكام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شعر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540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1/260-261.</w:t>
      </w:r>
    </w:p>
    <w:p w:rsidR="00000000" w:rsidDel="00000000" w:rsidP="00000000" w:rsidRDefault="00000000" w:rsidRPr="00000000" w14:paraId="000000C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39-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زبان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التميمي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المازني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ومقرؤها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والشعر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154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1/237، </w:t>
      </w:r>
      <w:r w:rsidDel="00000000" w:rsidR="00000000" w:rsidRPr="00000000">
        <w:rPr>
          <w:vertAlign w:val="baseline"/>
          <w:rtl w:val="1"/>
        </w:rPr>
        <w:t xml:space="preserve">النشر</w:t>
      </w:r>
      <w:r w:rsidDel="00000000" w:rsidR="00000000" w:rsidRPr="00000000">
        <w:rPr>
          <w:vertAlign w:val="baseline"/>
          <w:rtl w:val="1"/>
        </w:rPr>
        <w:t xml:space="preserve"> : 1/134، </w:t>
      </w:r>
      <w:r w:rsidDel="00000000" w:rsidR="00000000" w:rsidRPr="00000000">
        <w:rPr>
          <w:vertAlign w:val="baseline"/>
          <w:rtl w:val="1"/>
        </w:rPr>
        <w:t xml:space="preserve">المغني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: 1/24-26.</w:t>
      </w:r>
    </w:p>
    <w:p w:rsidR="00000000" w:rsidDel="00000000" w:rsidP="00000000" w:rsidRDefault="00000000" w:rsidRPr="00000000" w14:paraId="000000C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40-</w:t>
      </w:r>
      <w:r w:rsidDel="00000000" w:rsidR="00000000" w:rsidRPr="00000000">
        <w:rPr>
          <w:vertAlign w:val="baseline"/>
          <w:rtl w:val="1"/>
        </w:rPr>
        <w:t xml:space="preserve">قتادة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دماعة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السدوسي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تابعي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وأعلمهم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والأنساب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وأيام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116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8/351، </w:t>
      </w:r>
      <w:r w:rsidDel="00000000" w:rsidR="00000000" w:rsidRPr="00000000">
        <w:rPr>
          <w:vertAlign w:val="baseline"/>
          <w:rtl w:val="1"/>
        </w:rPr>
        <w:t xml:space="preserve">تقريب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305.</w:t>
      </w:r>
    </w:p>
    <w:p w:rsidR="00000000" w:rsidDel="00000000" w:rsidP="00000000" w:rsidRDefault="00000000" w:rsidRPr="00000000" w14:paraId="000000D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41-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قتيبة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الدينوري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والنحو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ببغداد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دينور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قضاءها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276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1/245،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محقق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تأويل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) : 2-76، 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4/280.</w:t>
      </w:r>
    </w:p>
    <w:p w:rsidR="00000000" w:rsidDel="00000000" w:rsidP="00000000" w:rsidRDefault="00000000" w:rsidRPr="00000000" w14:paraId="000000D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42-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الخزرجي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أفاضل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المسمى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الجامع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671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3/335،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6/217،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: 6-30.</w:t>
      </w:r>
    </w:p>
    <w:p w:rsidR="00000000" w:rsidDel="00000000" w:rsidP="00000000" w:rsidRDefault="00000000" w:rsidRPr="00000000" w14:paraId="000000D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43-</w:t>
      </w:r>
      <w:r w:rsidDel="00000000" w:rsidR="00000000" w:rsidRPr="00000000">
        <w:rPr>
          <w:vertAlign w:val="baseline"/>
          <w:rtl w:val="1"/>
        </w:rPr>
        <w:t xml:space="preserve">القشيري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القاسم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هوازن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النيسابوري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قشر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خراسان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مفسر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صنف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التيسير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لطائف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الإشارات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بنيسابور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465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1/291-293،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4/120.</w:t>
      </w:r>
    </w:p>
    <w:p w:rsidR="00000000" w:rsidDel="00000000" w:rsidP="00000000" w:rsidRDefault="00000000" w:rsidRPr="00000000" w14:paraId="000000D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44-</w:t>
      </w:r>
      <w:r w:rsidDel="00000000" w:rsidR="00000000" w:rsidRPr="00000000">
        <w:rPr>
          <w:vertAlign w:val="baseline"/>
          <w:rtl w:val="1"/>
        </w:rPr>
        <w:t xml:space="preserve">قطرب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القفال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206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2/15،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7/315.</w:t>
      </w:r>
    </w:p>
    <w:p w:rsidR="00000000" w:rsidDel="00000000" w:rsidP="00000000" w:rsidRDefault="00000000" w:rsidRPr="00000000" w14:paraId="000000D9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45-</w:t>
      </w:r>
      <w:r w:rsidDel="00000000" w:rsidR="00000000" w:rsidRPr="00000000">
        <w:rPr>
          <w:vertAlign w:val="baseline"/>
          <w:rtl w:val="1"/>
        </w:rPr>
        <w:t xml:space="preserve">الفراء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زكرياء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يحيى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منظور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الأسلمي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الدليمي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المعروف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بالفحاء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وأعلمهم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بالنحو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207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11/212،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9/178.</w:t>
      </w:r>
    </w:p>
    <w:p w:rsidR="00000000" w:rsidDel="00000000" w:rsidP="00000000" w:rsidRDefault="00000000" w:rsidRPr="00000000" w14:paraId="000000D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46-</w:t>
      </w:r>
      <w:r w:rsidDel="00000000" w:rsidR="00000000" w:rsidRPr="00000000">
        <w:rPr>
          <w:vertAlign w:val="baseline"/>
          <w:rtl w:val="1"/>
        </w:rPr>
        <w:t xml:space="preserve">الفضيل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عياض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التميمي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اليربوعي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أفاضل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اتباع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والتقوى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187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8/294، </w:t>
      </w:r>
      <w:r w:rsidDel="00000000" w:rsidR="00000000" w:rsidRPr="00000000">
        <w:rPr>
          <w:vertAlign w:val="baseline"/>
          <w:rtl w:val="1"/>
        </w:rPr>
        <w:t xml:space="preserve">تقريب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301.</w:t>
      </w:r>
    </w:p>
    <w:p w:rsidR="00000000" w:rsidDel="00000000" w:rsidP="00000000" w:rsidRDefault="00000000" w:rsidRPr="00000000" w14:paraId="000000D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47-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120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1/157، </w:t>
      </w:r>
      <w:r w:rsidDel="00000000" w:rsidR="00000000" w:rsidRPr="00000000">
        <w:rPr>
          <w:vertAlign w:val="baseline"/>
          <w:rtl w:val="1"/>
        </w:rPr>
        <w:t xml:space="preserve">النشر</w:t>
      </w:r>
      <w:r w:rsidDel="00000000" w:rsidR="00000000" w:rsidRPr="00000000">
        <w:rPr>
          <w:vertAlign w:val="baseline"/>
          <w:rtl w:val="1"/>
        </w:rPr>
        <w:t xml:space="preserve"> : 1/120، </w:t>
      </w:r>
      <w:r w:rsidDel="00000000" w:rsidR="00000000" w:rsidRPr="00000000">
        <w:rPr>
          <w:vertAlign w:val="baseline"/>
          <w:rtl w:val="1"/>
        </w:rPr>
        <w:t xml:space="preserve">المغني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: 1/36-37.</w:t>
      </w:r>
    </w:p>
    <w:p w:rsidR="00000000" w:rsidDel="00000000" w:rsidP="00000000" w:rsidRDefault="00000000" w:rsidRPr="00000000" w14:paraId="000000D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48-</w:t>
      </w:r>
      <w:r w:rsidDel="00000000" w:rsidR="00000000" w:rsidRPr="00000000">
        <w:rPr>
          <w:vertAlign w:val="baseline"/>
          <w:rtl w:val="1"/>
        </w:rPr>
        <w:t xml:space="preserve">الكسائي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فيروز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تابعي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189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1/5321، </w:t>
      </w:r>
      <w:r w:rsidDel="00000000" w:rsidR="00000000" w:rsidRPr="00000000">
        <w:rPr>
          <w:vertAlign w:val="baseline"/>
          <w:rtl w:val="1"/>
        </w:rPr>
        <w:t xml:space="preserve">النشر</w:t>
      </w:r>
      <w:r w:rsidDel="00000000" w:rsidR="00000000" w:rsidRPr="00000000">
        <w:rPr>
          <w:vertAlign w:val="baseline"/>
          <w:rtl w:val="1"/>
        </w:rPr>
        <w:t xml:space="preserve"> : 1/172، </w:t>
      </w:r>
      <w:r w:rsidDel="00000000" w:rsidR="00000000" w:rsidRPr="00000000">
        <w:rPr>
          <w:vertAlign w:val="baseline"/>
          <w:rtl w:val="1"/>
        </w:rPr>
        <w:t xml:space="preserve">المغني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: 1/36-37.</w:t>
      </w:r>
    </w:p>
    <w:p w:rsidR="00000000" w:rsidDel="00000000" w:rsidP="00000000" w:rsidRDefault="00000000" w:rsidRPr="00000000" w14:paraId="000000E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49-</w:t>
      </w:r>
      <w:r w:rsidDel="00000000" w:rsidR="00000000" w:rsidRPr="00000000">
        <w:rPr>
          <w:vertAlign w:val="baseline"/>
          <w:rtl w:val="1"/>
        </w:rPr>
        <w:t xml:space="preserve">الكرماني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القاسم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محمود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الكرماني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نحوي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مفسر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500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2/312،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2/662-663.</w:t>
      </w:r>
    </w:p>
    <w:p w:rsidR="00000000" w:rsidDel="00000000" w:rsidP="00000000" w:rsidRDefault="00000000" w:rsidRPr="00000000" w14:paraId="000000E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50-</w:t>
      </w:r>
      <w:r w:rsidDel="00000000" w:rsidR="00000000" w:rsidRPr="00000000">
        <w:rPr>
          <w:vertAlign w:val="baseline"/>
          <w:rtl w:val="1"/>
        </w:rPr>
        <w:t xml:space="preserve">الليث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الفهمي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المجتهدين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175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8/459، </w:t>
      </w:r>
      <w:r w:rsidDel="00000000" w:rsidR="00000000" w:rsidRPr="00000000">
        <w:rPr>
          <w:vertAlign w:val="baseline"/>
          <w:rtl w:val="1"/>
        </w:rPr>
        <w:t xml:space="preserve">تقريب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311.</w:t>
      </w:r>
    </w:p>
    <w:p w:rsidR="00000000" w:rsidDel="00000000" w:rsidP="00000000" w:rsidRDefault="00000000" w:rsidRPr="00000000" w14:paraId="000000E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51-</w:t>
      </w:r>
      <w:r w:rsidDel="00000000" w:rsidR="00000000" w:rsidRPr="00000000">
        <w:rPr>
          <w:vertAlign w:val="baseline"/>
          <w:rtl w:val="1"/>
        </w:rPr>
        <w:t xml:space="preserve">الماوردي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حبيب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أقضى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مفسر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تصانيف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450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1/423-425،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3/285.</w:t>
      </w:r>
    </w:p>
    <w:p w:rsidR="00000000" w:rsidDel="00000000" w:rsidP="00000000" w:rsidRDefault="00000000" w:rsidRPr="00000000" w14:paraId="000000E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52-</w:t>
      </w:r>
      <w:r w:rsidDel="00000000" w:rsidR="00000000" w:rsidRPr="00000000">
        <w:rPr>
          <w:vertAlign w:val="baseline"/>
          <w:rtl w:val="1"/>
        </w:rPr>
        <w:t xml:space="preserve">المبرد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الارادي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البصري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ببغداد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285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2/267،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2/190.</w:t>
      </w:r>
    </w:p>
    <w:p w:rsidR="00000000" w:rsidDel="00000000" w:rsidP="00000000" w:rsidRDefault="00000000" w:rsidRPr="00000000" w14:paraId="000000E9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53-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سيرين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وفقيه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دهره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مأمونا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ورعا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110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9/214، </w:t>
      </w:r>
      <w:r w:rsidDel="00000000" w:rsidR="00000000" w:rsidRPr="00000000">
        <w:rPr>
          <w:vertAlign w:val="baseline"/>
          <w:rtl w:val="1"/>
        </w:rPr>
        <w:t xml:space="preserve">تقريب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322.</w:t>
      </w:r>
    </w:p>
    <w:p w:rsidR="00000000" w:rsidDel="00000000" w:rsidP="00000000" w:rsidRDefault="00000000" w:rsidRPr="00000000" w14:paraId="000000E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54-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الأصفهاني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الأصفهاني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أصفهان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معتزلي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صنوف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جامع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التأويل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322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1/106،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6/273.</w:t>
      </w:r>
    </w:p>
    <w:p w:rsidR="00000000" w:rsidDel="00000000" w:rsidP="00000000" w:rsidRDefault="00000000" w:rsidRPr="00000000" w14:paraId="000000ED">
      <w:pPr>
        <w:bidi w:val="1"/>
        <w:contextualSpacing w:val="0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55-</w:t>
      </w:r>
      <w:r w:rsidDel="00000000" w:rsidR="00000000" w:rsidRPr="00000000">
        <w:rPr>
          <w:vertAlign w:val="baseline"/>
          <w:rtl w:val="1"/>
        </w:rPr>
        <w:t xml:space="preserve">مقاتل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الأزدي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بلخ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vertAlign w:val="baseline"/>
          <w:rtl w:val="1"/>
        </w:rPr>
        <w:t xml:space="preserve">كان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متروك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الحديث</w:t>
      </w:r>
      <w:r w:rsidDel="00000000" w:rsidR="00000000" w:rsidRPr="00000000">
        <w:rPr>
          <w:color w:val="000000"/>
          <w:vertAlign w:val="baseline"/>
          <w:rtl w:val="1"/>
        </w:rPr>
        <w:t xml:space="preserve">، </w:t>
      </w:r>
      <w:r w:rsidDel="00000000" w:rsidR="00000000" w:rsidRPr="00000000">
        <w:rPr>
          <w:color w:val="000000"/>
          <w:vertAlign w:val="baseline"/>
          <w:rtl w:val="1"/>
        </w:rPr>
        <w:t xml:space="preserve">توفي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بالبصرة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عام</w:t>
      </w:r>
      <w:r w:rsidDel="00000000" w:rsidR="00000000" w:rsidRPr="00000000">
        <w:rPr>
          <w:color w:val="000000"/>
          <w:vertAlign w:val="baseline"/>
          <w:rtl w:val="1"/>
        </w:rPr>
        <w:t xml:space="preserve"> 150</w:t>
      </w:r>
      <w:r w:rsidDel="00000000" w:rsidR="00000000" w:rsidRPr="00000000">
        <w:rPr>
          <w:color w:val="000000"/>
          <w:vertAlign w:val="baseline"/>
          <w:rtl w:val="1"/>
        </w:rPr>
        <w:t xml:space="preserve">هـ</w:t>
      </w:r>
      <w:r w:rsidDel="00000000" w:rsidR="00000000" w:rsidRPr="00000000">
        <w:rPr>
          <w:color w:val="000000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تهذيب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: 10/279.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56-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الشرجي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الحسني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الشاوري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اليمني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فروع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الشافعية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F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الضوء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اللامع</w:t>
      </w:r>
      <w:r w:rsidDel="00000000" w:rsidR="00000000" w:rsidRPr="00000000">
        <w:rPr>
          <w:vertAlign w:val="baseline"/>
          <w:rtl w:val="1"/>
        </w:rPr>
        <w:t xml:space="preserve"> : 2/292، </w:t>
      </w:r>
      <w:r w:rsidDel="00000000" w:rsidR="00000000" w:rsidRPr="00000000">
        <w:rPr>
          <w:vertAlign w:val="baseline"/>
          <w:rtl w:val="1"/>
        </w:rPr>
        <w:t xml:space="preserve">البدر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الطالع</w:t>
      </w:r>
      <w:r w:rsidDel="00000000" w:rsidR="00000000" w:rsidRPr="00000000">
        <w:rPr>
          <w:vertAlign w:val="baseline"/>
          <w:rtl w:val="1"/>
        </w:rPr>
        <w:t xml:space="preserve"> : 1/142.</w:t>
      </w:r>
    </w:p>
    <w:p w:rsidR="00000000" w:rsidDel="00000000" w:rsidP="00000000" w:rsidRDefault="00000000" w:rsidRPr="00000000" w14:paraId="000000F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57-</w:t>
      </w:r>
      <w:r w:rsidDel="00000000" w:rsidR="00000000" w:rsidRPr="00000000">
        <w:rPr>
          <w:vertAlign w:val="baseline"/>
          <w:rtl w:val="1"/>
        </w:rPr>
        <w:t xml:space="preserve">النقاش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المقرئ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المفسر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351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2/132،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2/513.</w:t>
      </w:r>
    </w:p>
    <w:p w:rsidR="00000000" w:rsidDel="00000000" w:rsidP="00000000" w:rsidRDefault="00000000" w:rsidRPr="00000000" w14:paraId="000000F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58-</w:t>
      </w:r>
      <w:r w:rsidDel="00000000" w:rsidR="00000000" w:rsidRPr="00000000">
        <w:rPr>
          <w:vertAlign w:val="baseline"/>
          <w:rtl w:val="1"/>
        </w:rPr>
        <w:t xml:space="preserve">النووي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زكريا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يحيى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علا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676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9/184، </w:t>
      </w:r>
      <w:r w:rsidDel="00000000" w:rsidR="00000000" w:rsidRPr="00000000">
        <w:rPr>
          <w:vertAlign w:val="baseline"/>
          <w:rtl w:val="1"/>
        </w:rPr>
        <w:t xml:space="preserve">الفتح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المبين</w:t>
      </w:r>
      <w:r w:rsidDel="00000000" w:rsidR="00000000" w:rsidRPr="00000000">
        <w:rPr>
          <w:vertAlign w:val="baseline"/>
          <w:rtl w:val="1"/>
        </w:rPr>
        <w:t xml:space="preserve"> : 2/84-85،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تاريخه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ورجاله</w:t>
      </w:r>
      <w:r w:rsidDel="00000000" w:rsidR="00000000" w:rsidRPr="00000000">
        <w:rPr>
          <w:vertAlign w:val="baseline"/>
          <w:rtl w:val="1"/>
        </w:rPr>
        <w:t xml:space="preserve"> : 259.</w:t>
      </w:r>
    </w:p>
    <w:p w:rsidR="00000000" w:rsidDel="00000000" w:rsidP="00000000" w:rsidRDefault="00000000" w:rsidRPr="00000000" w14:paraId="000000F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59-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همام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السيواسي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861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الضوء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اللامع</w:t>
      </w:r>
      <w:r w:rsidDel="00000000" w:rsidR="00000000" w:rsidRPr="00000000">
        <w:rPr>
          <w:vertAlign w:val="baseline"/>
          <w:rtl w:val="1"/>
        </w:rPr>
        <w:t xml:space="preserve"> : 8/127-132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4/231.</w:t>
      </w:r>
    </w:p>
    <w:p w:rsidR="00000000" w:rsidDel="00000000" w:rsidP="00000000" w:rsidRDefault="00000000" w:rsidRPr="00000000" w14:paraId="000000F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60-</w:t>
      </w:r>
      <w:r w:rsidDel="00000000" w:rsidR="00000000" w:rsidRPr="00000000">
        <w:rPr>
          <w:vertAlign w:val="baseline"/>
          <w:rtl w:val="1"/>
        </w:rPr>
        <w:t xml:space="preserve">الواحدي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متوبة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مفسر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بالأدب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مولده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بنيسابور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468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1/387-390، </w:t>
      </w:r>
      <w:r w:rsidDel="00000000" w:rsidR="00000000" w:rsidRPr="00000000">
        <w:rPr>
          <w:vertAlign w:val="baseline"/>
          <w:rtl w:val="1"/>
        </w:rPr>
        <w:t xml:space="preserve">شذرات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الذهب</w:t>
      </w:r>
      <w:r w:rsidDel="00000000" w:rsidR="00000000" w:rsidRPr="00000000">
        <w:rPr>
          <w:vertAlign w:val="baseline"/>
          <w:rtl w:val="1"/>
        </w:rPr>
        <w:t xml:space="preserve"> : 3/330.</w:t>
      </w:r>
    </w:p>
    <w:p w:rsidR="00000000" w:rsidDel="00000000" w:rsidP="00000000" w:rsidRDefault="00000000" w:rsidRPr="00000000" w14:paraId="000000F9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1"/>
        </w:rPr>
        <w:t xml:space="preserve">الإهداء</w:t>
      </w:r>
    </w:p>
    <w:p w:rsidR="00000000" w:rsidDel="00000000" w:rsidP="00000000" w:rsidRDefault="00000000" w:rsidRPr="00000000" w14:paraId="0000010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العزيزين</w:t>
      </w:r>
    </w:p>
    <w:p w:rsidR="00000000" w:rsidDel="00000000" w:rsidP="00000000" w:rsidRDefault="00000000" w:rsidRPr="00000000" w14:paraId="0000010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الدكتور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كريم</w:t>
      </w:r>
    </w:p>
    <w:p w:rsidR="00000000" w:rsidDel="00000000" w:rsidP="00000000" w:rsidRDefault="00000000" w:rsidRPr="00000000" w14:paraId="0000010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زوجتي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العزيزة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الفاضلة</w:t>
      </w:r>
    </w:p>
    <w:p w:rsidR="00000000" w:rsidDel="00000000" w:rsidP="00000000" w:rsidRDefault="00000000" w:rsidRPr="00000000" w14:paraId="0000010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إخواني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وأحبابي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علينا</w:t>
      </w:r>
    </w:p>
    <w:p w:rsidR="00000000" w:rsidDel="00000000" w:rsidP="00000000" w:rsidRDefault="00000000" w:rsidRPr="00000000" w14:paraId="0000010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أهدي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إجلالا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وإكراما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الباحث</w:t>
      </w:r>
    </w:p>
    <w:p w:rsidR="00000000" w:rsidDel="00000000" w:rsidP="00000000" w:rsidRDefault="00000000" w:rsidRPr="00000000" w14:paraId="0000010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شكر</w:t>
      </w:r>
    </w:p>
    <w:p w:rsidR="00000000" w:rsidDel="00000000" w:rsidP="00000000" w:rsidRDefault="00000000" w:rsidRPr="00000000" w14:paraId="00000108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أحمدك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توفيقك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وامتنانك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وأشكرك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جزيل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وعظيم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إحسانك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وأنبيائك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وصحبه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أجمعين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9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عرفان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لأهله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أتقدم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بخالص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والامتنان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أستاذي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الدكتور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صبره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وتحمله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بحثي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A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يفوتني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بخالص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مشايخي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الأفاضل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الأستاذ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الدكتور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رمضان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B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مساهمة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تهيئة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لإتمام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الدكتور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السامرائي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والسيد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المشهداني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والسيد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المشهداني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والأستاذ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المشهداني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موظفي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مكتبة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الجامعة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فجزاهم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الوكيل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الباحث</w:t>
      </w:r>
    </w:p>
    <w:p w:rsidR="00000000" w:rsidDel="00000000" w:rsidP="00000000" w:rsidRDefault="00000000" w:rsidRPr="00000000" w14:paraId="0000010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1"/>
        </w:rPr>
        <w:t xml:space="preserve">بسم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الرحيم</w:t>
      </w:r>
    </w:p>
    <w:p w:rsidR="00000000" w:rsidDel="00000000" w:rsidP="00000000" w:rsidRDefault="00000000" w:rsidRPr="00000000" w14:paraId="0000010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10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أعطى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ومثل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جوامعه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وصحبه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تبعه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…</w:t>
      </w:r>
    </w:p>
    <w:p w:rsidR="00000000" w:rsidDel="00000000" w:rsidP="00000000" w:rsidRDefault="00000000" w:rsidRPr="00000000" w14:paraId="00000112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بعباده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مخلصين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ونشرها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وتأليفا</w:t>
      </w:r>
      <w:r w:rsidDel="00000000" w:rsidR="00000000" w:rsidRPr="00000000">
        <w:rPr>
          <w:vertAlign w:val="baseline"/>
          <w:rtl w:val="1"/>
        </w:rPr>
        <w:t xml:space="preserve">ً،…</w:t>
      </w:r>
    </w:p>
    <w:p w:rsidR="00000000" w:rsidDel="00000000" w:rsidP="00000000" w:rsidRDefault="00000000" w:rsidRPr="00000000" w14:paraId="00000113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بسهمه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احتوى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دفتيه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فحسب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4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رغبتي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علاقة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أطلعت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فأعجبت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بآرائه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وأفكاره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وتفسيراته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رغبتي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وإغفال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الباحثين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والرغبة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ومكانته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المكتبة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5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وخاتمة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6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حياته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مؤلفاته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مبحثان</w:t>
      </w:r>
      <w:r w:rsidDel="00000000" w:rsidR="00000000" w:rsidRPr="00000000">
        <w:rPr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11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سياسيا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واجتماعيا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وعلميا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11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حياة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ومؤلفات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9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فجعلته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مبحثين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1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للتفسير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C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تناولت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1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والتابعين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موقفه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1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وجعلته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والنحو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22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الصناعة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اعتماده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اعتماده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5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الخامس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تكلمت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2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نظرية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الفنون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9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السادس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تناولت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2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الناسخ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والمنسوخ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الخامس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والمتشابه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السادس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</w:p>
    <w:p w:rsidR="00000000" w:rsidDel="00000000" w:rsidP="00000000" w:rsidRDefault="00000000" w:rsidRPr="00000000" w14:paraId="0000013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المناسبات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والسور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1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الثامن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2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فتناولت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والعقلية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3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6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الثامن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والأخير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مبحثان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3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9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الخاتمة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النتائج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توصلت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صعوبات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ولعل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أبرزها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يعيشها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بلدنا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وتدهور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الأوضاع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الأمنية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أستطيع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طاقتي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ومعرفتي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أحسنت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وأخطأت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والشيطان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لأرجو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لإبراز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الجليل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أرجو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يقبله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لوجهه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C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دعوانا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العالمين</w:t>
      </w:r>
      <w:r w:rsidDel="00000000" w:rsidR="00000000" w:rsidRPr="00000000">
        <w:rPr>
          <w:vertAlign w:val="baseline"/>
          <w:rtl w:val="1"/>
        </w:rPr>
        <w:t xml:space="preserve">…</w:t>
      </w:r>
    </w:p>
    <w:p w:rsidR="00000000" w:rsidDel="00000000" w:rsidP="00000000" w:rsidRDefault="00000000" w:rsidRPr="00000000" w14:paraId="0000013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1"/>
        </w:rPr>
        <w:t xml:space="preserve">الخاتمة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41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ساطع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جامع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بارع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توضيح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المشكلات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الغوامض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الأقدمين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المسمى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ومرجعا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علميا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مهما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والعقلية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2">
      <w:pPr>
        <w:bidi w:val="1"/>
        <w:ind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توصلت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نتائج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43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والمسمى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4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تنوعت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وتعددت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محتويات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ومفاتيح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5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المأثور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القائم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أصناف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بالرأي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6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واتضح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والتابعين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7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8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6-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يرفض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ويفندها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ضعفها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والطعن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الكرام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9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7-</w:t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وللمقدرة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استطاع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والجماعة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A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8-</w:t>
      </w:r>
      <w:r w:rsidDel="00000000" w:rsidR="00000000" w:rsidRPr="00000000">
        <w:rPr>
          <w:vertAlign w:val="baseline"/>
          <w:rtl w:val="1"/>
        </w:rPr>
        <w:t xml:space="preserve">الثقافة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الواسعة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تمتع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حافلا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والفقهية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B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9-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متعصبا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لمذهبه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C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10-</w:t>
      </w:r>
      <w:r w:rsidDel="00000000" w:rsidR="00000000" w:rsidRPr="00000000">
        <w:rPr>
          <w:vertAlign w:val="baseline"/>
          <w:rtl w:val="1"/>
        </w:rPr>
        <w:t xml:space="preserve">وتبين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والنحوية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D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11-</w:t>
      </w:r>
      <w:r w:rsidDel="00000000" w:rsidR="00000000" w:rsidRPr="00000000">
        <w:rPr>
          <w:vertAlign w:val="baseline"/>
          <w:rtl w:val="1"/>
        </w:rPr>
        <w:t xml:space="preserve">يعد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المدافعين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والمشهورة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يرفض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E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12-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،…</w:t>
      </w:r>
    </w:p>
    <w:p w:rsidR="00000000" w:rsidDel="00000000" w:rsidP="00000000" w:rsidRDefault="00000000" w:rsidRPr="00000000" w14:paraId="0000014F">
      <w:pPr>
        <w:bidi w:val="1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دعوانا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العالمين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المرسلين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وصحبه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أجمعين</w:t>
      </w:r>
      <w:r w:rsidDel="00000000" w:rsidR="00000000" w:rsidRPr="00000000">
        <w:rPr>
          <w:vertAlign w:val="baseline"/>
          <w:rtl w:val="1"/>
        </w:rPr>
        <w:t xml:space="preserve">.</w:t>
      </w:r>
    </w:p>
    <w:sectPr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16/326-327.</w:t>
      </w:r>
    </w:p>
  </w:footnote>
  <w:footnote w:id="1"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3/288.</w:t>
      </w:r>
    </w:p>
  </w:footnote>
  <w:footnote w:id="2"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70.</w:t>
      </w:r>
    </w:p>
  </w:footnote>
  <w:footnote w:id="3"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2/367.</w:t>
      </w:r>
    </w:p>
  </w:footnote>
  <w:footnote w:id="4"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النسفية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33-34،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النسفية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للسعدي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52-54.</w:t>
      </w:r>
    </w:p>
  </w:footnote>
  <w:footnote w:id="5"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22.</w:t>
      </w:r>
    </w:p>
  </w:footnote>
  <w:footnote w:id="6"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13/470-471.</w:t>
      </w:r>
    </w:p>
  </w:footnote>
  <w:footnote w:id="7"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9/114.</w:t>
      </w:r>
    </w:p>
  </w:footnote>
  <w:footnote w:id="8"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54.</w:t>
      </w:r>
    </w:p>
  </w:footnote>
  <w:footnote w:id="9"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9/145-146.</w:t>
      </w:r>
    </w:p>
  </w:footnote>
  <w:footnote w:id="10"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المذاهب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149.</w:t>
      </w:r>
    </w:p>
  </w:footnote>
  <w:footnote w:id="11"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المعتقد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86-93،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الطحاوية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1/174.</w:t>
      </w:r>
    </w:p>
  </w:footnote>
  <w:footnote w:id="12"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الطحاوية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1/173،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المذاهب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149-159.</w:t>
      </w:r>
    </w:p>
  </w:footnote>
  <w:footnote w:id="13"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2.</w:t>
      </w:r>
    </w:p>
  </w:footnote>
  <w:footnote w:id="14"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9/5-6.</w:t>
      </w:r>
    </w:p>
  </w:footnote>
  <w:footnote w:id="15"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10.</w:t>
      </w:r>
    </w:p>
  </w:footnote>
  <w:footnote w:id="16"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15/8.</w:t>
      </w:r>
    </w:p>
  </w:footnote>
  <w:footnote w:id="17"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النسفية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91-92.</w:t>
      </w:r>
    </w:p>
  </w:footnote>
  <w:footnote w:id="18"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143.</w:t>
      </w:r>
    </w:p>
  </w:footnote>
  <w:footnote w:id="19"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9/300.</w:t>
      </w:r>
    </w:p>
  </w:footnote>
  <w:footnote w:id="20"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22،23.</w:t>
      </w:r>
    </w:p>
  </w:footnote>
  <w:footnote w:id="21"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103.</w:t>
      </w:r>
    </w:p>
  </w:footnote>
  <w:footnote w:id="22"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198.</w:t>
      </w:r>
    </w:p>
  </w:footnote>
  <w:footnote w:id="23"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77.</w:t>
      </w:r>
    </w:p>
  </w:footnote>
  <w:footnote w:id="24"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143.</w:t>
      </w:r>
    </w:p>
  </w:footnote>
  <w:footnote w:id="25"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13.</w:t>
      </w:r>
    </w:p>
  </w:footnote>
  <w:footnote w:id="26"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53.</w:t>
      </w:r>
    </w:p>
  </w:footnote>
  <w:footnote w:id="27"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20/565-566.</w:t>
      </w:r>
    </w:p>
  </w:footnote>
  <w:footnote w:id="28"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النسفية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96.</w:t>
      </w:r>
    </w:p>
  </w:footnote>
  <w:footnote w:id="29"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14.</w:t>
      </w:r>
    </w:p>
  </w:footnote>
  <w:footnote w:id="30"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10/38.</w:t>
      </w:r>
    </w:p>
  </w:footnote>
  <w:footnote w:id="31"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النسفية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96.</w:t>
      </w:r>
    </w:p>
  </w:footnote>
  <w:footnote w:id="32"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122.</w:t>
      </w:r>
    </w:p>
  </w:footnote>
  <w:footnote w:id="33"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7/34.</w:t>
      </w:r>
    </w:p>
  </w:footnote>
  <w:footnote w:id="34"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22.</w:t>
      </w:r>
    </w:p>
  </w:footnote>
  <w:footnote w:id="35"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8/409.</w:t>
      </w:r>
    </w:p>
  </w:footnote>
  <w:footnote w:id="36"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النسفية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للتفاتازاني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155،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167-168.</w:t>
      </w:r>
    </w:p>
  </w:footnote>
  <w:footnote w:id="37"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124.</w:t>
      </w:r>
    </w:p>
  </w:footnote>
  <w:footnote w:id="38"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2/456-457.</w:t>
      </w:r>
    </w:p>
  </w:footnote>
  <w:footnote w:id="39"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106.</w:t>
      </w:r>
    </w:p>
  </w:footnote>
  <w:footnote w:id="40"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7/6.</w:t>
      </w:r>
    </w:p>
  </w:footnote>
  <w:footnote w:id="41"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52.</w:t>
      </w:r>
    </w:p>
  </w:footnote>
  <w:footnote w:id="42"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114.</w:t>
      </w:r>
    </w:p>
  </w:footnote>
  <w:footnote w:id="43"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90.</w:t>
      </w:r>
    </w:p>
  </w:footnote>
  <w:footnote w:id="44"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28.</w:t>
      </w:r>
    </w:p>
  </w:footnote>
  <w:footnote w:id="45"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12/193-194.</w:t>
      </w:r>
    </w:p>
  </w:footnote>
  <w:footnote w:id="46"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8/160-161.</w:t>
      </w:r>
    </w:p>
  </w:footnote>
  <w:footnote w:id="47"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1/496.</w:t>
      </w:r>
    </w:p>
  </w:footnote>
  <w:footnote w:id="48"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1/299.</w:t>
      </w:r>
    </w:p>
  </w:footnote>
  <w:footnote w:id="49"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40.</w:t>
      </w:r>
    </w:p>
  </w:footnote>
  <w:footnote w:id="50"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10/95.</w:t>
      </w:r>
    </w:p>
  </w:footnote>
  <w:footnote w:id="51"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المجادلة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7.</w:t>
      </w:r>
    </w:p>
  </w:footnote>
  <w:footnote w:id="52"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10/96.</w:t>
      </w:r>
    </w:p>
  </w:footnote>
  <w:footnote w:id="53"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3/114.</w:t>
      </w:r>
    </w:p>
  </w:footnote>
  <w:footnote w:id="54"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8/527-528.</w:t>
      </w:r>
    </w:p>
  </w:footnote>
  <w:footnote w:id="55"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2/52.</w:t>
      </w:r>
    </w:p>
  </w:footnote>
  <w:footnote w:id="56"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7/317.</w:t>
      </w:r>
    </w:p>
  </w:footnote>
  <w:footnote w:id="57"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9/382.</w:t>
      </w:r>
    </w:p>
  </w:footnote>
  <w:footnote w:id="58"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4/215.</w:t>
      </w:r>
    </w:p>
  </w:footnote>
  <w:footnote w:id="59"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1/195، 1/366، 3/288.</w:t>
      </w:r>
    </w:p>
  </w:footnote>
  <w:footnote w:id="60"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الفتنة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137،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1/54-60.</w:t>
      </w:r>
    </w:p>
  </w:footnote>
  <w:footnote w:id="61"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الفتنة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188.</w:t>
      </w:r>
    </w:p>
  </w:footnote>
  <w:footnote w:id="62"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12/47.</w:t>
      </w:r>
    </w:p>
  </w:footnote>
  <w:footnote w:id="63"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1/155،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الفتنة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168.</w:t>
      </w:r>
    </w:p>
  </w:footnote>
  <w:footnote w:id="64"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10/594.</w:t>
      </w:r>
    </w:p>
  </w:footnote>
  <w:footnote w:id="65"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1/85.</w:t>
      </w:r>
    </w:p>
  </w:footnote>
  <w:footnote w:id="66"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4/295.</w:t>
      </w:r>
    </w:p>
  </w:footnote>
  <w:footnote w:id="67"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21.</w:t>
      </w:r>
    </w:p>
  </w:footnote>
  <w:footnote w:id="68"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الشربيني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: 53.</w:t>
      </w:r>
    </w:p>
  </w:footnote>
  <w:footnote w:id="69"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الجليل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50.</w:t>
      </w:r>
    </w:p>
  </w:footnote>
  <w:footnote w:id="70"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الآلوسي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16/258.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jc w:val="left"/>
    </w:pPr>
    <w:rPr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