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F1" w:rsidRPr="0050453D" w:rsidRDefault="001C5313" w:rsidP="0050453D">
      <w:pPr>
        <w:spacing w:after="0" w:line="240" w:lineRule="auto"/>
        <w:jc w:val="center"/>
        <w:rPr>
          <w:rFonts w:ascii="Traditional Arabic" w:cs="Traditional Arabic" w:hint="cs"/>
          <w:b/>
          <w:bCs/>
          <w:sz w:val="32"/>
          <w:szCs w:val="32"/>
          <w:rtl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ملخص عن رسالة علمية ( ماجستير )</w:t>
      </w:r>
    </w:p>
    <w:p w:rsidR="001C5313" w:rsidRPr="00A160DE" w:rsidRDefault="001C5313" w:rsidP="001C5313">
      <w:pPr>
        <w:spacing w:after="0" w:line="240" w:lineRule="auto"/>
        <w:rPr>
          <w:rFonts w:ascii="Traditional Arabic" w:cs="Traditional Arabic" w:hint="cs"/>
          <w:sz w:val="14"/>
          <w:szCs w:val="14"/>
          <w:rtl/>
        </w:rPr>
      </w:pPr>
    </w:p>
    <w:p w:rsidR="001C5313" w:rsidRPr="00A160DE" w:rsidRDefault="001C5313" w:rsidP="001C5313">
      <w:pPr>
        <w:spacing w:after="0" w:line="240" w:lineRule="auto"/>
        <w:rPr>
          <w:rFonts w:ascii="Traditional Arabic" w:cs="Traditional Arabic" w:hint="cs"/>
          <w:sz w:val="2"/>
          <w:szCs w:val="2"/>
          <w:rtl/>
        </w:rPr>
      </w:pPr>
    </w:p>
    <w:p w:rsidR="001C5313" w:rsidRPr="0050453D" w:rsidRDefault="001C5313" w:rsidP="001C5313">
      <w:pPr>
        <w:pStyle w:val="a3"/>
        <w:numPr>
          <w:ilvl w:val="0"/>
          <w:numId w:val="4"/>
        </w:numPr>
        <w:spacing w:after="0" w:line="240" w:lineRule="auto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اسم الباحث</w:t>
      </w:r>
      <w:r w:rsidRPr="0050453D">
        <w:rPr>
          <w:rFonts w:ascii="Traditional Arabic" w:cs="Traditional Arabic" w:hint="cs"/>
          <w:sz w:val="32"/>
          <w:szCs w:val="32"/>
          <w:rtl/>
        </w:rPr>
        <w:t xml:space="preserve"> : وليد بن حزام بن كديميس العتيبي </w:t>
      </w:r>
      <w:r w:rsidR="00A160DE">
        <w:rPr>
          <w:rFonts w:ascii="Traditional Arabic" w:cs="Traditional Arabic" w:hint="cs"/>
          <w:sz w:val="32"/>
          <w:szCs w:val="32"/>
          <w:rtl/>
        </w:rPr>
        <w:t>.</w:t>
      </w:r>
    </w:p>
    <w:p w:rsidR="001C5313" w:rsidRDefault="001C5313" w:rsidP="001C5313">
      <w:pPr>
        <w:pStyle w:val="a3"/>
        <w:numPr>
          <w:ilvl w:val="0"/>
          <w:numId w:val="4"/>
        </w:numPr>
        <w:spacing w:after="0" w:line="240" w:lineRule="auto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عنوان الرسالة</w:t>
      </w:r>
      <w:r w:rsidRPr="0050453D">
        <w:rPr>
          <w:rFonts w:ascii="Traditional Arabic" w:cs="Traditional Arabic" w:hint="cs"/>
          <w:sz w:val="32"/>
          <w:szCs w:val="32"/>
          <w:rtl/>
        </w:rPr>
        <w:t xml:space="preserve"> : التعجب في القرآن الكريم </w:t>
      </w:r>
      <w:r w:rsidRPr="0050453D">
        <w:rPr>
          <w:rFonts w:ascii="Traditional Arabic" w:cs="Traditional Arabic"/>
          <w:sz w:val="32"/>
          <w:szCs w:val="32"/>
          <w:rtl/>
        </w:rPr>
        <w:t>–</w:t>
      </w:r>
      <w:r w:rsidRPr="0050453D">
        <w:rPr>
          <w:rFonts w:ascii="Traditional Arabic" w:cs="Traditional Arabic" w:hint="cs"/>
          <w:sz w:val="32"/>
          <w:szCs w:val="32"/>
          <w:rtl/>
        </w:rPr>
        <w:t xml:space="preserve"> دراسة تفسيرية موضوعية </w:t>
      </w:r>
      <w:r w:rsidRPr="0050453D">
        <w:rPr>
          <w:rFonts w:ascii="Traditional Arabic" w:cs="Traditional Arabic"/>
          <w:sz w:val="32"/>
          <w:szCs w:val="32"/>
          <w:rtl/>
        </w:rPr>
        <w:t>–</w:t>
      </w:r>
      <w:r w:rsidR="00A160DE">
        <w:rPr>
          <w:rFonts w:ascii="Traditional Arabic" w:cs="Traditional Arabic" w:hint="cs"/>
          <w:sz w:val="32"/>
          <w:szCs w:val="32"/>
          <w:rtl/>
        </w:rPr>
        <w:t xml:space="preserve"> .</w:t>
      </w:r>
    </w:p>
    <w:p w:rsidR="00A160DE" w:rsidRPr="0050453D" w:rsidRDefault="00A160DE" w:rsidP="001C5313">
      <w:pPr>
        <w:pStyle w:val="a3"/>
        <w:numPr>
          <w:ilvl w:val="0"/>
          <w:numId w:val="4"/>
        </w:numPr>
        <w:spacing w:after="0" w:line="240" w:lineRule="auto"/>
        <w:rPr>
          <w:rFonts w:ascii="Traditional Arabic" w:cs="Traditional Arabic" w:hint="cs"/>
          <w:sz w:val="32"/>
          <w:szCs w:val="32"/>
        </w:rPr>
      </w:pPr>
      <w:r w:rsidRPr="00A160DE">
        <w:rPr>
          <w:rFonts w:ascii="Traditional Arabic" w:cs="Traditional Arabic" w:hint="cs"/>
          <w:b/>
          <w:bCs/>
          <w:sz w:val="32"/>
          <w:szCs w:val="32"/>
          <w:rtl/>
        </w:rPr>
        <w:t>تأريخ مناقشة الرسالة</w:t>
      </w:r>
      <w:r>
        <w:rPr>
          <w:rFonts w:ascii="Traditional Arabic" w:cs="Traditional Arabic" w:hint="cs"/>
          <w:sz w:val="32"/>
          <w:szCs w:val="32"/>
          <w:rtl/>
        </w:rPr>
        <w:t xml:space="preserve"> : يوم الثلاثاء 2 / 2 / 1433 هـ بالقاعة الكبرى بكلية أصول الدين بالرياض .</w:t>
      </w:r>
    </w:p>
    <w:p w:rsidR="001C5313" w:rsidRPr="0050453D" w:rsidRDefault="001C5313" w:rsidP="001C5313">
      <w:pPr>
        <w:pStyle w:val="a3"/>
        <w:numPr>
          <w:ilvl w:val="0"/>
          <w:numId w:val="4"/>
        </w:numPr>
        <w:spacing w:after="0" w:line="240" w:lineRule="auto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اسم المشرف</w:t>
      </w:r>
      <w:r w:rsidRPr="0050453D">
        <w:rPr>
          <w:rFonts w:ascii="Traditional Arabic" w:cs="Traditional Arabic" w:hint="cs"/>
          <w:sz w:val="32"/>
          <w:szCs w:val="32"/>
          <w:rtl/>
        </w:rPr>
        <w:t xml:space="preserve"> : د. أحمد بن سلامة أبو الفتوح صالح .</w:t>
      </w:r>
    </w:p>
    <w:p w:rsidR="001C5313" w:rsidRPr="0050453D" w:rsidRDefault="001C5313" w:rsidP="0050453D">
      <w:pPr>
        <w:pStyle w:val="a3"/>
        <w:numPr>
          <w:ilvl w:val="0"/>
          <w:numId w:val="4"/>
        </w:numPr>
        <w:spacing w:after="0" w:line="240" w:lineRule="auto"/>
        <w:rPr>
          <w:rFonts w:ascii="Traditional Arabic" w:cs="Traditional Arabic"/>
          <w:sz w:val="32"/>
          <w:szCs w:val="32"/>
          <w:rtl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خطة البحث</w:t>
      </w:r>
      <w:r w:rsidRPr="0050453D">
        <w:rPr>
          <w:rFonts w:ascii="Traditional Arabic" w:cs="Traditional Arabic" w:hint="cs"/>
          <w:sz w:val="32"/>
          <w:szCs w:val="32"/>
          <w:rtl/>
        </w:rPr>
        <w:t xml:space="preserve"> : تتكون خطة البحث من : مقدمة ، وتمهيد ، وأربعة فصول وخاتمة وفهارس علمية . 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المقدمة و تشتمل على : أهمية الموضوع ، وأسباب اختياره ، وأهداف البحث ، والدراسات السابقة ، وخطة البحث ومنهجه . 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814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التمهيد : وفيه بيان معنى التعجب .</w:t>
      </w:r>
    </w:p>
    <w:p w:rsidR="001C5313" w:rsidRPr="0050453D" w:rsidRDefault="001C5313" w:rsidP="0050453D">
      <w:pPr>
        <w:autoSpaceDE w:val="0"/>
        <w:autoSpaceDN w:val="0"/>
        <w:adjustRightInd w:val="0"/>
        <w:spacing w:after="0" w:line="240" w:lineRule="auto"/>
        <w:ind w:left="851"/>
        <w:rPr>
          <w:rFonts w:ascii="Traditional Arabic" w:cs="Traditional Arabic" w:hint="cs"/>
          <w:b/>
          <w:bCs/>
          <w:sz w:val="32"/>
          <w:szCs w:val="32"/>
          <w:rtl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 xml:space="preserve">الفصل الأول : أساليب التعجب في القرآن الكريم وصيغه  ، وفيه خمسة مباحث : 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1985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الأول : الألفاظ الصريحة الدالة على التعجب في القرآن الكريم. 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1985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الثاني : الألفاظ الظنية الدالة على التعجب في القرآن الكريم . 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1985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الثالث : الأدوات النحوية الدالة على التعجب في القرآن الكريم .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1985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الرابع : الدلالة الفعلية للتعجب في القرآن الكريم .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1985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الخامس : صيغ التعجب  في القرآن الكريم .  </w:t>
      </w: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1985"/>
        <w:rPr>
          <w:rFonts w:ascii="Traditional Arabic" w:cs="Traditional Arabic"/>
          <w:sz w:val="32"/>
          <w:szCs w:val="32"/>
          <w:rtl/>
        </w:rPr>
      </w:pPr>
    </w:p>
    <w:p w:rsidR="001C5313" w:rsidRPr="0050453D" w:rsidRDefault="001C5313" w:rsidP="001C5313">
      <w:pPr>
        <w:autoSpaceDE w:val="0"/>
        <w:autoSpaceDN w:val="0"/>
        <w:adjustRightInd w:val="0"/>
        <w:spacing w:after="0" w:line="240" w:lineRule="auto"/>
        <w:ind w:left="851"/>
        <w:rPr>
          <w:rFonts w:ascii="Traditional Arabic" w:cs="Traditional Arabic"/>
          <w:b/>
          <w:bCs/>
          <w:sz w:val="32"/>
          <w:szCs w:val="32"/>
          <w:rtl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 xml:space="preserve">الفصل الثاني : أقسام التعجب باعتبار المضاف إليه ، وفيه عشرة مباحث :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الأول : إضافة التعجب إلى الله عزَّ وجل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الثاني : إضافة التعجب إلى الملائكة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الثالث : إضافة التعجب إلى الأنبياء – عليهم السلام-.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الرابع : إضافة التعجب إلى المؤمنين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الخامس : إضافة التعجب إلى الجن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السادس : إضافة التعجب إلى الكافرين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السابع : إضافة التعجب إلى المنافقين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الثامن : إضافة التعجب إلى أهل الجنة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التاسع : إضافة التعجب إلى أهل النار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العاشر : إضافة التعجب إلى غير العقلاء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</w:p>
    <w:p w:rsidR="001C5313" w:rsidRPr="0050453D" w:rsidRDefault="001C5313" w:rsidP="001C5313">
      <w:pPr>
        <w:spacing w:after="0" w:line="240" w:lineRule="auto"/>
        <w:ind w:left="1560" w:hanging="709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الفصل الثالث : المتعجب منه في القرآن الكريم ، وفيه ستة عشرة مبحثًا :</w:t>
      </w:r>
      <w:r w:rsidRPr="0050453D">
        <w:rPr>
          <w:rFonts w:ascii="Traditional Arabic" w:cs="Traditional Arabic" w:hint="cs"/>
          <w:sz w:val="32"/>
          <w:szCs w:val="32"/>
          <w:rtl/>
        </w:rPr>
        <w:t xml:space="preserve">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الأول : التعجب من قدرة الله تعالى والجهل بها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lastRenderedPageBreak/>
        <w:t>المبحث الثاني : التعجب من التكذيب بالنبي ز.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الثالث : التعجب من عدم الاحتكام إلى شريعة الله .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الرابع : التعجب من أحوال الدار الآخرة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الخامس : التعجب من حال الإنسان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السادس : التعجب من المنافقين .</w:t>
      </w:r>
    </w:p>
    <w:p w:rsidR="001C5313" w:rsidRPr="0050453D" w:rsidRDefault="001C5313" w:rsidP="001C5313">
      <w:pPr>
        <w:spacing w:after="0" w:line="240" w:lineRule="auto"/>
        <w:ind w:firstLine="1842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 المبحث السابع : التعجب من حال الكفار .   </w:t>
      </w:r>
    </w:p>
    <w:p w:rsidR="001C5313" w:rsidRPr="0050453D" w:rsidRDefault="001C5313" w:rsidP="001C5313">
      <w:pPr>
        <w:spacing w:after="0" w:line="240" w:lineRule="auto"/>
        <w:ind w:firstLine="1842"/>
        <w:rPr>
          <w:rFonts w:ascii="Traditional Arabic" w:cs="Traditional Arabic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الثامن : التعجب من وقوع الأمر الغريب .</w:t>
      </w:r>
      <w:r w:rsidRPr="0050453D">
        <w:rPr>
          <w:rFonts w:ascii="Traditional Arabic" w:cs="Traditional Arabic"/>
          <w:sz w:val="32"/>
          <w:szCs w:val="32"/>
          <w:rtl/>
        </w:rPr>
        <w:t xml:space="preserve"> 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التاسع :   التعجب من الإعراض عن الحق ومخالفته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العاشر :  التعجب من الإفساد والصد عن ذكر الله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الحادي عشر :  التعجب من مقابلة النعمة بالكفر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الثاني عشر  : التعجب من التناقض في الأفعال .</w:t>
      </w:r>
    </w:p>
    <w:p w:rsidR="001C5313" w:rsidRPr="0050453D" w:rsidRDefault="001C5313" w:rsidP="001C5313">
      <w:pPr>
        <w:spacing w:after="0" w:line="240" w:lineRule="auto"/>
        <w:ind w:left="1560" w:firstLine="283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الثالث عشر : التعجب من منكرات الأخلاق .</w:t>
      </w:r>
    </w:p>
    <w:p w:rsidR="001C5313" w:rsidRPr="0050453D" w:rsidRDefault="001C5313" w:rsidP="001C5313">
      <w:pPr>
        <w:spacing w:after="0" w:line="240" w:lineRule="auto"/>
        <w:ind w:left="1122" w:firstLine="72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الرابع عشر : تعجب الكفار من الدعوة إلى التوحيد . </w:t>
      </w:r>
    </w:p>
    <w:p w:rsidR="001C5313" w:rsidRPr="0050453D" w:rsidRDefault="001C5313" w:rsidP="001C5313">
      <w:pPr>
        <w:spacing w:after="0" w:line="240" w:lineRule="auto"/>
        <w:ind w:firstLine="1842"/>
        <w:rPr>
          <w:rFonts w:ascii="Traditional Arabic" w:cs="Traditional Arabic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الخامس عشر : تعجب الكفار من بشرية الرسل – عليهم السلام- </w:t>
      </w:r>
    </w:p>
    <w:p w:rsidR="001C5313" w:rsidRPr="0050453D" w:rsidRDefault="001C5313" w:rsidP="001C5313">
      <w:pPr>
        <w:spacing w:after="0" w:line="240" w:lineRule="auto"/>
        <w:ind w:left="1122" w:firstLine="720"/>
        <w:rPr>
          <w:rFonts w:ascii="Traditional Arabic" w:cs="Traditional Arabic"/>
          <w:sz w:val="32"/>
          <w:szCs w:val="32"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السادس عشر : تعجب الكفار من البعث والنشور .</w:t>
      </w:r>
    </w:p>
    <w:p w:rsidR="001C5313" w:rsidRPr="0050453D" w:rsidRDefault="001C5313" w:rsidP="001C5313">
      <w:pPr>
        <w:spacing w:after="0" w:line="240" w:lineRule="auto"/>
        <w:ind w:left="1122" w:firstLine="720"/>
        <w:rPr>
          <w:rFonts w:ascii="Traditional Arabic" w:cs="Traditional Arabic"/>
          <w:sz w:val="32"/>
          <w:szCs w:val="32"/>
          <w:rtl/>
        </w:rPr>
      </w:pPr>
    </w:p>
    <w:p w:rsidR="001C5313" w:rsidRPr="0050453D" w:rsidRDefault="001C5313" w:rsidP="001C5313">
      <w:pPr>
        <w:spacing w:after="0" w:line="240" w:lineRule="auto"/>
        <w:ind w:firstLine="720"/>
        <w:rPr>
          <w:rFonts w:ascii="Traditional Arabic" w:cs="Traditional Arabic"/>
          <w:b/>
          <w:bCs/>
          <w:sz w:val="32"/>
          <w:szCs w:val="32"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 xml:space="preserve">الفصل الرابع : مقاصد التعجب في القرآن الكريم ، وفيه ثمانية مباحث :  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الأول : تقرير التوحيد . 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الثاني :  التنزيه لله سبحانه وتعالى. 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المبحث الثالث : التسلية وَ العــزاء . 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الرابع : الرد على الكفار وأهل الكتاب .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الخامس : الاعتبار  وَ التفكر .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السادس : الوعظ وَ التذكير .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السابع : التعظيم و َ التحقير .</w:t>
      </w:r>
    </w:p>
    <w:p w:rsidR="001C5313" w:rsidRPr="0050453D" w:rsidRDefault="001C5313" w:rsidP="001C5313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>المبحث الثامن : شكر النعمة  .</w:t>
      </w:r>
    </w:p>
    <w:p w:rsidR="001C5313" w:rsidRDefault="001C5313" w:rsidP="001C5313">
      <w:pPr>
        <w:spacing w:after="0" w:line="240" w:lineRule="auto"/>
        <w:rPr>
          <w:rFonts w:cs="AL-Mohanad Bold" w:hint="cs"/>
          <w:sz w:val="30"/>
          <w:szCs w:val="30"/>
          <w:rtl/>
        </w:rPr>
      </w:pPr>
    </w:p>
    <w:p w:rsidR="001C5313" w:rsidRPr="0050453D" w:rsidRDefault="001C5313" w:rsidP="0050453D">
      <w:pPr>
        <w:spacing w:after="0" w:line="240" w:lineRule="auto"/>
        <w:ind w:left="1842" w:hanging="1843"/>
        <w:rPr>
          <w:rFonts w:ascii="Traditional Arabic" w:cs="Traditional Arabic" w:hint="cs"/>
          <w:b/>
          <w:bCs/>
          <w:sz w:val="32"/>
          <w:szCs w:val="32"/>
          <w:rtl/>
        </w:rPr>
      </w:pPr>
      <w:r w:rsidRPr="0050453D">
        <w:rPr>
          <w:rFonts w:ascii="Traditional Arabic" w:cs="Traditional Arabic" w:hint="cs"/>
          <w:b/>
          <w:bCs/>
          <w:sz w:val="32"/>
          <w:szCs w:val="32"/>
          <w:rtl/>
        </w:rPr>
        <w:t>أهم نتائج البحث :</w:t>
      </w:r>
    </w:p>
    <w:p w:rsidR="001C5313" w:rsidRPr="0050453D" w:rsidRDefault="001C5313" w:rsidP="0050453D">
      <w:pPr>
        <w:spacing w:after="0" w:line="240" w:lineRule="auto"/>
        <w:ind w:left="1842" w:hanging="710"/>
        <w:rPr>
          <w:rFonts w:ascii="Traditional Arabic" w:cs="Traditional Arabic" w:hint="cs"/>
          <w:sz w:val="32"/>
          <w:szCs w:val="32"/>
          <w:rtl/>
        </w:rPr>
      </w:pPr>
      <w:r w:rsidRPr="0050453D">
        <w:rPr>
          <w:rFonts w:ascii="Traditional Arabic" w:cs="Traditional Arabic" w:hint="cs"/>
          <w:sz w:val="32"/>
          <w:szCs w:val="32"/>
          <w:rtl/>
        </w:rPr>
        <w:t xml:space="preserve">توصل الباحث إلى نتائج تتلخص فيما يلي : 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إعجاز القرآن الكريم وفصاحته ؛ حيث استعمل ما عند العرب من الأساليب المهمّة التي اشتهرت عندهم ، وكان من جملتها : أسلوب التعجب .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lastRenderedPageBreak/>
        <w:t xml:space="preserve">أن القرآن الكريم عندما استعمل أسلوب التعجب ؛ لم يحصر في أسلوب دون آخر ، بل استعمل كلا الأسلوبين : الصريح والاصطلاحي . 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التعجب في آيات القرآن الكريم لم يكن محصورًا في الألفاظ فقط ، بل تجاوز ذلك ليشمل الدلالة الفعلية كالضحك وتحريك الرأس وضرب الوجه مما جاء مرادًا به التعجب .  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التعجب في القرآن الكريم يرد على صورة التنزيه : ( سبحان ) ، كما يرد على صفة الدعاء كـ ( قاتلهم الله ، سحقًا ) ونحو ذلك .  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ورود القسم بـ ( تالله ) على معنى التعجب والاستغراب من الفعل .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التعجب في القرآن الكريم يطلق على أمرين : تعجب استنكار واستغراب ، وتعجب فرح وسرور وغبطة ، والأول هو المقصود بالدراسة . </w:t>
      </w:r>
    </w:p>
    <w:p w:rsidR="001C5313" w:rsidRPr="0050453D" w:rsidRDefault="001C5313" w:rsidP="00A160DE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إثبات العَجَب لله سبحانه وتعالى على ما يليق به من غير تحريف ولا تعطيل ولا تمثيل ولا تشبيه ولا تكييف ، وهذه الصفة دلّ عليها القرآن الكريم ، وسنة المصطفى</w:t>
      </w:r>
      <w:r w:rsidR="00A160DE">
        <w:rPr>
          <w:rFonts w:ascii="Traditional Arabic" w:hAnsi="Traditional Arabic" w:cs="Traditional Arabic" w:hint="cs"/>
          <w:sz w:val="30"/>
          <w:szCs w:val="30"/>
          <w:rtl/>
        </w:rPr>
        <w:t xml:space="preserve"> صلى الله عليه وسلم</w:t>
      </w: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 . 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شمولية القرآن الكريم في موضوع التعجب ، فقد جاء في القرآن الكريم صادرًا من الملائكة والأنبياء – عليهم السلام - ، والمؤمنين والمنافقين ، والكفار وأهل الكتاب ، وأهل الجنة والنار ، بل والحيوانات .</w:t>
      </w:r>
    </w:p>
    <w:p w:rsidR="001C5313" w:rsidRPr="0050453D" w:rsidRDefault="001C5313" w:rsidP="001C5313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شناعة الإفساد في الأرض ، سواء كان بالشرك وهو أعظمها ، أم بسفك الدماء ، ولذا جاء التعجب من الملائكة – عليهم السلام - تجاه هذا الأمر الشنيع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إعجاز القرآن الكريم وفصاحته ؛ حيث استعمل ما عند العرب من الأساليب المهمّة التي اشتهرت عندهم ، وكان من جملتها : أسلوب التعجب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القرآن الكريم عندما استعمل أسلوب التعجب ؛ لم يحصر في أسلوب دون آخر ، بل استعمل كلا الأسلوبين : الصريح والاصطلاحي . 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التعجب في آيات القرآن الكريم لم يكن محصورًا في الألفاظ فقط ، بل تجاوز ذلك ليشمل الدلالة الفعلية كالضحك وتحريك الرأس وضرب الوجه مما جاء مرادًا به التعجب .  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التعجب في القرآن الكريم يرد على صورة التنزيه : ( سبحان ) ، كما يرد على صفة الدعاء كـ ( قاتلهم الله ، سحقًا ) ونحو ذلك .  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ورود القسم بـ ( تالله ) على معنى التعجب والاستغراب من الفعل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أن التعجب في القرآن الكريم يطلق على أمرين : تعجب استنكار واستغراب ، وتعجب فرح وسرور وغبطة ، والأول هو المقصود بالدراسة . 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 xml:space="preserve">إثبات العَجَب لله سبحانه وتعالى على ما يليق به من غير تحريف ولا تعطيل ولا تمثيل ولا تشبيه ولا تكييف ، وهذه الصفة دلّ عليها القرآن الكريم ، وسنة المصطفى صلى الله عليه وسلم. 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lastRenderedPageBreak/>
        <w:t>شمولية القرآن الكريم في موضوع التعجب ، فقد جاء في القرآن الكريم صادرًا من الملائكة والأنبياء – عليهم السلام - ، والمؤمنين والمنافقين ، والكفار وأهل الكتاب ، وأهل الجنة والنار ، بل والحيوانات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شناعة الإفساد في الأرض ، سواء كان بالشرك وهو أعظمها ، أم بسفك الدماء ، ولذا جاء التعجب من الملائكة – عليهم السلام - تجاه هذا الأمر الشنيع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أن التعجب المضاف إلى الخليل وزكريا ومريم – عليهم السلام  - في رزقهم بالولد في حال من العدم ؛ تعجب مراد منه الاستبعاد لا الاستنكار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التعجب ممن يأمر الناس بالبر وينسى نفسه ! ، والتأكيد على أن هذا خلق ذميم ، جديرة بالتعجب منها .</w:t>
      </w:r>
    </w:p>
    <w:p w:rsidR="0050453D" w:rsidRP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التشنيع على من اتخذ إلهه هواه ، والتعجيب من حاله تلك .</w:t>
      </w:r>
    </w:p>
    <w:p w:rsidR="0050453D" w:rsidRDefault="0050453D" w:rsidP="0050453D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 w:rsidRPr="0050453D">
        <w:rPr>
          <w:rFonts w:ascii="Traditional Arabic" w:hAnsi="Traditional Arabic" w:cs="Traditional Arabic" w:hint="cs"/>
          <w:sz w:val="30"/>
          <w:szCs w:val="30"/>
          <w:rtl/>
        </w:rPr>
        <w:t>التعجب من حال الكفار في صبرهم على النار ، وفي صبرهم على موجبات النار .</w:t>
      </w:r>
    </w:p>
    <w:p w:rsidR="00A160DE" w:rsidRPr="00A160DE" w:rsidRDefault="00A160DE" w:rsidP="00A160DE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/>
          <w:sz w:val="30"/>
          <w:szCs w:val="30"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 xml:space="preserve">أن الباعث الوحيد ، والسبب الرئيس في عدم اهتداء الكفار ؛ هو تكذيبهم بالبعث والنشور ، وهذا التكذيب طالما صرّحوا به ، ولو كانوا يرجون في الآخرة ثوابًا ؛ لآمنوا وصدقوا . </w:t>
      </w:r>
    </w:p>
    <w:p w:rsidR="00A160DE" w:rsidRPr="00A160DE" w:rsidRDefault="00A160DE" w:rsidP="00A160DE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/>
          <w:sz w:val="30"/>
          <w:szCs w:val="30"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>التعجب والتشنيع ممن لا يحتكم إلى شريعة الله الغراء ، ويتجه إلى قوانين وضعية ، وهي في أصلها أحكام جاهلية ؛ لا تسمن ولا تغني من جوع .</w:t>
      </w:r>
    </w:p>
    <w:p w:rsidR="00A160DE" w:rsidRPr="00A160DE" w:rsidRDefault="00A160DE" w:rsidP="00A160DE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 xml:space="preserve">عِظم يوم القيامة وما فيه من أهوال وأحوال ، ولذا جاء التعجب من هذا اليوم في أسمائه وصفاته ، وعلاماته وأماراته . </w:t>
      </w:r>
    </w:p>
    <w:p w:rsidR="00A160DE" w:rsidRDefault="00A160DE" w:rsidP="00A160DE">
      <w:pPr>
        <w:pStyle w:val="a3"/>
        <w:numPr>
          <w:ilvl w:val="0"/>
          <w:numId w:val="5"/>
        </w:numPr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>بيان ما أعدّ الله لأهل الإيمان في الجنة ، وما أعد لأهل الشقاء في النار ، ولذا ؛ ورد التعجب من حال تلك الطائفتين ، وتعظيم كلا الجزاءين .</w:t>
      </w:r>
    </w:p>
    <w:p w:rsidR="00A160DE" w:rsidRPr="00A160DE" w:rsidRDefault="00A160DE" w:rsidP="00A160DE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4"/>
          <w:szCs w:val="34"/>
          <w:rtl/>
        </w:rPr>
      </w:pPr>
      <w:r w:rsidRPr="00A160D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- توصيات الباحث : </w:t>
      </w:r>
    </w:p>
    <w:p w:rsidR="00A160DE" w:rsidRPr="00A160DE" w:rsidRDefault="00A160DE" w:rsidP="00A160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raditional Arabic" w:hAnsi="Traditional Arabic" w:cs="Traditional Arabic" w:hint="cs"/>
          <w:sz w:val="30"/>
          <w:szCs w:val="30"/>
          <w:rtl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 xml:space="preserve">الإسهام في وضع قواعد وضوابط في الدراسات الموضوعية ؛ لفائدتها العظيمة ، وثمرتها الكبيرة في استشراف هدايات القرآن الكريم . </w:t>
      </w:r>
    </w:p>
    <w:p w:rsidR="00A160DE" w:rsidRPr="00A160DE" w:rsidRDefault="00A160DE" w:rsidP="00A160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>دعم الدراسات الموضوعية وتشجيع الطلاب عليها ، لأنها تكشف القناع عن معاني ألفاظ القرآن الكريم .</w:t>
      </w:r>
    </w:p>
    <w:p w:rsidR="00A160DE" w:rsidRPr="00A160DE" w:rsidRDefault="00A160DE" w:rsidP="00A160D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raditional Arabic" w:hAnsi="Traditional Arabic" w:cs="Traditional Arabic" w:hint="cs"/>
          <w:sz w:val="30"/>
          <w:szCs w:val="30"/>
        </w:rPr>
      </w:pPr>
      <w:r w:rsidRPr="00A160DE">
        <w:rPr>
          <w:rFonts w:ascii="Traditional Arabic" w:hAnsi="Traditional Arabic" w:cs="Traditional Arabic" w:hint="cs"/>
          <w:sz w:val="30"/>
          <w:szCs w:val="30"/>
          <w:rtl/>
        </w:rPr>
        <w:t>إنشاء مراكز متخصصة تعنى بدراسة الأساليب اللغوية في القرآن الكريم ؛ دراسة تفسيرية موضوعية .</w:t>
      </w:r>
    </w:p>
    <w:p w:rsidR="00A160DE" w:rsidRPr="00A160DE" w:rsidRDefault="00A160DE" w:rsidP="00A160DE">
      <w:pPr>
        <w:spacing w:after="0" w:line="240" w:lineRule="auto"/>
        <w:jc w:val="both"/>
        <w:rPr>
          <w:rFonts w:ascii="Traditional Arabic" w:hAnsi="Traditional Arabic" w:cs="Traditional Arabic" w:hint="cs"/>
          <w:sz w:val="30"/>
          <w:szCs w:val="30"/>
          <w:rtl/>
        </w:rPr>
      </w:pPr>
    </w:p>
    <w:p w:rsidR="00A160DE" w:rsidRDefault="00A160DE" w:rsidP="00A160DE">
      <w:pPr>
        <w:spacing w:after="0" w:line="240" w:lineRule="auto"/>
        <w:rPr>
          <w:rFonts w:ascii="Traditional Arabic" w:hAnsi="Traditional Arabic" w:cs="Traditional Arabic" w:hint="cs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</w:p>
    <w:p w:rsidR="001C5313" w:rsidRDefault="00A160DE" w:rsidP="00A160DE">
      <w:pPr>
        <w:spacing w:after="0" w:line="240" w:lineRule="auto"/>
        <w:rPr>
          <w:rFonts w:ascii="Traditional Arabic" w:hAnsi="Traditional Arabic" w:cs="Traditional Arabic" w:hint="cs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</w:r>
      <w:r>
        <w:rPr>
          <w:rFonts w:ascii="Traditional Arabic" w:hAnsi="Traditional Arabic" w:cs="Traditional Arabic" w:hint="cs"/>
          <w:sz w:val="30"/>
          <w:szCs w:val="30"/>
          <w:rtl/>
        </w:rPr>
        <w:tab/>
        <w:t>والله الموفق ،،،، .</w:t>
      </w:r>
    </w:p>
    <w:p w:rsidR="00A160DE" w:rsidRPr="00A160DE" w:rsidRDefault="00A160DE" w:rsidP="00A160DE">
      <w:pPr>
        <w:spacing w:after="0" w:line="240" w:lineRule="auto"/>
        <w:rPr>
          <w:rFonts w:ascii="Traditional Arabic" w:hAnsi="Traditional Arabic" w:cs="Traditional Arabic" w:hint="cs"/>
          <w:sz w:val="30"/>
          <w:szCs w:val="30"/>
          <w:rtl/>
        </w:rPr>
      </w:pPr>
    </w:p>
    <w:p w:rsidR="001C5313" w:rsidRPr="00A160DE" w:rsidRDefault="001C5313" w:rsidP="001C5313">
      <w:pPr>
        <w:spacing w:after="0" w:line="240" w:lineRule="auto"/>
        <w:rPr>
          <w:rFonts w:ascii="Traditional Arabic" w:hAnsi="Traditional Arabic" w:cs="Traditional Arabic" w:hint="cs"/>
          <w:sz w:val="30"/>
          <w:szCs w:val="30"/>
        </w:rPr>
      </w:pPr>
    </w:p>
    <w:sectPr w:rsidR="001C5313" w:rsidRPr="00A160DE" w:rsidSect="0050453D">
      <w:footerReference w:type="default" r:id="rId7"/>
      <w:pgSz w:w="11906" w:h="16838"/>
      <w:pgMar w:top="709" w:right="991" w:bottom="709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7D5" w:rsidRDefault="005367D5" w:rsidP="0050453D">
      <w:pPr>
        <w:spacing w:after="0" w:line="240" w:lineRule="auto"/>
      </w:pPr>
      <w:r>
        <w:separator/>
      </w:r>
    </w:p>
  </w:endnote>
  <w:endnote w:type="continuationSeparator" w:id="1">
    <w:p w:rsidR="005367D5" w:rsidRDefault="005367D5" w:rsidP="0050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85005"/>
      <w:docPartObj>
        <w:docPartGallery w:val="Page Numbers (Bottom of Page)"/>
        <w:docPartUnique/>
      </w:docPartObj>
    </w:sdtPr>
    <w:sdtContent>
      <w:p w:rsidR="0050453D" w:rsidRDefault="0050453D">
        <w:pPr>
          <w:pStyle w:val="a5"/>
          <w:jc w:val="right"/>
        </w:pPr>
        <w:fldSimple w:instr=" PAGE   \* MERGEFORMAT ">
          <w:r w:rsidR="00A160DE" w:rsidRPr="00A160DE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50453D" w:rsidRDefault="005045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7D5" w:rsidRDefault="005367D5" w:rsidP="0050453D">
      <w:pPr>
        <w:spacing w:after="0" w:line="240" w:lineRule="auto"/>
      </w:pPr>
      <w:r>
        <w:separator/>
      </w:r>
    </w:p>
  </w:footnote>
  <w:footnote w:type="continuationSeparator" w:id="1">
    <w:p w:rsidR="005367D5" w:rsidRDefault="005367D5" w:rsidP="00504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613"/>
    <w:multiLevelType w:val="hybridMultilevel"/>
    <w:tmpl w:val="18B6732A"/>
    <w:lvl w:ilvl="0" w:tplc="2FE8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394F"/>
    <w:multiLevelType w:val="hybridMultilevel"/>
    <w:tmpl w:val="99F86DBA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C5F1371"/>
    <w:multiLevelType w:val="hybridMultilevel"/>
    <w:tmpl w:val="250458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DE1A68"/>
    <w:multiLevelType w:val="hybridMultilevel"/>
    <w:tmpl w:val="FE243B60"/>
    <w:lvl w:ilvl="0" w:tplc="B8F419E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95453"/>
    <w:multiLevelType w:val="hybridMultilevel"/>
    <w:tmpl w:val="81760DB6"/>
    <w:lvl w:ilvl="0" w:tplc="2FE8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86226"/>
    <w:multiLevelType w:val="hybridMultilevel"/>
    <w:tmpl w:val="C9AA077C"/>
    <w:lvl w:ilvl="0" w:tplc="9A54F83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C68E5"/>
    <w:multiLevelType w:val="hybridMultilevel"/>
    <w:tmpl w:val="73727458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4B307B"/>
    <w:multiLevelType w:val="hybridMultilevel"/>
    <w:tmpl w:val="C0ECB1AE"/>
    <w:lvl w:ilvl="0" w:tplc="F4DAF4F0">
      <w:start w:val="1"/>
      <w:numFmt w:val="decimal"/>
      <w:lvlText w:val="%1)"/>
      <w:lvlJc w:val="left"/>
      <w:pPr>
        <w:ind w:left="502" w:hanging="360"/>
      </w:pPr>
      <w:rPr>
        <w:sz w:val="30"/>
        <w:szCs w:val="3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313"/>
    <w:rsid w:val="000527F1"/>
    <w:rsid w:val="001C5313"/>
    <w:rsid w:val="0050453D"/>
    <w:rsid w:val="005367D5"/>
    <w:rsid w:val="0062034A"/>
    <w:rsid w:val="00A1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F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31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04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0453D"/>
  </w:style>
  <w:style w:type="paragraph" w:styleId="a5">
    <w:name w:val="footer"/>
    <w:basedOn w:val="a"/>
    <w:link w:val="Char0"/>
    <w:uiPriority w:val="99"/>
    <w:unhideWhenUsed/>
    <w:rsid w:val="005045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04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Alesteshari</dc:creator>
  <cp:keywords/>
  <dc:description/>
  <cp:lastModifiedBy>Alesteshari</cp:lastModifiedBy>
  <cp:revision>2</cp:revision>
  <dcterms:created xsi:type="dcterms:W3CDTF">2012-01-14T19:46:00Z</dcterms:created>
  <dcterms:modified xsi:type="dcterms:W3CDTF">2012-01-14T20:22:00Z</dcterms:modified>
</cp:coreProperties>
</file>