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بسم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وأصحابه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والاه</w:t>
      </w:r>
      <w:r w:rsidDel="00000000" w:rsidR="00000000" w:rsidRPr="00000000">
        <w:rPr>
          <w:rtl w:val="1"/>
        </w:rPr>
        <w:t xml:space="preserve">..،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مطلوب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مبل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غة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ّ- </w:t>
      </w: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مطلوب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مريد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خفيت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قليل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عظيمة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وعلوم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الإلحاح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يعينه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ييس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شيخ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مبتغاه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إرشاد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يبل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وجدانها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المتأخرين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لكثرة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الموصوفة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الجهل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بالطريق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وآفاته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والمقصود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ضي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العمر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تعب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قليلة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المستعان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المراتب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المراقي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١-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الألفاظ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وك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الألفاظ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الخدري</w:t>
      </w:r>
      <w:r w:rsidDel="00000000" w:rsidR="00000000" w:rsidRPr="00000000">
        <w:rPr>
          <w:rtl w:val="1"/>
        </w:rPr>
        <w:t xml:space="preserve">ّ -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ّ -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الطاعة</w:t>
      </w:r>
      <w:r w:rsidDel="00000000" w:rsidR="00000000" w:rsidRPr="00000000">
        <w:rPr>
          <w:rtl w:val="1"/>
        </w:rPr>
        <w:t xml:space="preserve">”.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المرشح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عبدالهادي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الأبياري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المالكي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١٣٠٥)..، </w:t>
      </w:r>
      <w:r w:rsidDel="00000000" w:rsidR="00000000" w:rsidRPr="00000000">
        <w:rPr>
          <w:rtl w:val="1"/>
        </w:rPr>
        <w:t xml:space="preserve">ويقع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ُ: </w:t>
      </w:r>
      <w:r w:rsidDel="00000000" w:rsidR="00000000" w:rsidRPr="00000000">
        <w:rPr>
          <w:rtl w:val="1"/>
        </w:rPr>
        <w:t xml:space="preserve">صن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الأبياري</w:t>
      </w:r>
      <w:r w:rsidDel="00000000" w:rsidR="00000000" w:rsidRPr="00000000">
        <w:rPr>
          <w:rtl w:val="1"/>
        </w:rPr>
        <w:t xml:space="preserve">ّ -</w:t>
      </w:r>
      <w:r w:rsidDel="00000000" w:rsidR="00000000" w:rsidRPr="00000000">
        <w:rPr>
          <w:rtl w:val="1"/>
        </w:rPr>
        <w:t xml:space="preserve">رحمه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الضوابط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الفنون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بدأها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بالفقه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وختمها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حاشية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اها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واك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الكواكب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الحاشية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استكمل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طباعتها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تلاميذه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الحاشية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دين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بأخرة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فائدة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السيوطي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الإتقان</w:t>
      </w:r>
      <w:r w:rsidDel="00000000" w:rsidR="00000000" w:rsidRPr="00000000">
        <w:rPr>
          <w:rtl w:val="1"/>
        </w:rPr>
        <w:t xml:space="preserve">”،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فارس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</w:t>
      </w:r>
      <w:r w:rsidDel="00000000" w:rsidR="00000000" w:rsidRPr="00000000">
        <w:rPr>
          <w:rtl w:val="1"/>
        </w:rPr>
        <w:t xml:space="preserve">ّ،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”،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بتحقيق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٢-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الألفاظ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وغريب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الألفاظ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استعمالها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ومثاله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عازب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ّ -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: {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}: “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”.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تحفة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الغريب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للعل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الأندلسي</w:t>
      </w:r>
      <w:r w:rsidDel="00000000" w:rsidR="00000000" w:rsidRPr="00000000">
        <w:rPr>
          <w:rtl w:val="1"/>
        </w:rPr>
        <w:t xml:space="preserve">ّ،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حاشية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للشيخ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عبدالرحمن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كوني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تسجيل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تهذيب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وترتيب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اسمه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البيان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”.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فائدة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للشيخ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بالتفسير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إمداد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”.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٣-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والمقصود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كلمة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مفاتح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الغيب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: {</w:t>
      </w:r>
      <w:r w:rsidDel="00000000" w:rsidR="00000000" w:rsidRPr="00000000">
        <w:rPr>
          <w:rtl w:val="1"/>
        </w:rPr>
        <w:t xml:space="preserve">وعنده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يعلمها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}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البخاري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عنهما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ّ -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مفاتح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خمس</w:t>
      </w:r>
      <w:r w:rsidDel="00000000" w:rsidR="00000000" w:rsidRPr="00000000">
        <w:rPr>
          <w:rtl w:val="1"/>
        </w:rPr>
        <w:t xml:space="preserve">: …” </w:t>
      </w: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لقمان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وبيان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مخلوف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الأزهري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وقعت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فصن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عق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”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ُ: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الخميس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٤-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الوجوه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والنظائر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لفظ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والمختلفة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فالات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حاد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نى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نى</w:t>
      </w:r>
      <w:r w:rsidDel="00000000" w:rsidR="00000000" w:rsidRPr="00000000">
        <w:rPr>
          <w:rtl w:val="1"/>
        </w:rPr>
        <w:t xml:space="preserve">”.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والاتحاد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إحسان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محسن</w:t>
      </w:r>
      <w:r w:rsidDel="00000000" w:rsidR="00000000" w:rsidRPr="00000000">
        <w:rPr>
          <w:rtl w:val="1"/>
        </w:rPr>
        <w:t xml:space="preserve">”.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ومثالها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: {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يلبسوا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إيمانهم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بظلم</w:t>
      </w:r>
      <w:r w:rsidDel="00000000" w:rsidR="00000000" w:rsidRPr="00000000">
        <w:rPr>
          <w:rtl w:val="1"/>
        </w:rPr>
        <w:t xml:space="preserve">}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ّ -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فقالوا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يظلم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تقولون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الظلم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تسمعوا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الصالح</w:t>
      </w:r>
      <w:r w:rsidDel="00000000" w:rsidR="00000000" w:rsidRPr="00000000">
        <w:rPr>
          <w:rtl w:val="1"/>
        </w:rPr>
        <w:t xml:space="preserve">: {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الشرك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لظلم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عظيم</w:t>
      </w:r>
      <w:r w:rsidDel="00000000" w:rsidR="00000000" w:rsidRPr="00000000">
        <w:rPr>
          <w:rtl w:val="1"/>
        </w:rPr>
        <w:t xml:space="preserve">}..؟”، </w:t>
      </w:r>
      <w:r w:rsidDel="00000000" w:rsidR="00000000" w:rsidRPr="00000000">
        <w:rPr>
          <w:rtl w:val="1"/>
        </w:rPr>
        <w:t xml:space="preserve">فوقع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بمعان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المرشح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نزهة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النواظر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الوجوه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والنظائر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الجوزي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الحنبلي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يفتقر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حاشية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نافع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فوائد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ُ: </w:t>
      </w:r>
      <w:r w:rsidDel="00000000" w:rsidR="00000000" w:rsidRPr="00000000">
        <w:rPr>
          <w:rtl w:val="1"/>
        </w:rPr>
        <w:t xml:space="preserve">ومحق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الراضي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فائدة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جلاني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الأدراري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الجزائري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المتوفى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ومئتين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وعشرين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ومنظومته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أقسام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المتكرر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بعينها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بعينها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الوجوه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والنظائر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اسمه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ضياء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بلعالم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٥-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مجملة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وهدايات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المجملة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المتأخ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رون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مقاصد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أغراضها</w:t>
      </w:r>
      <w:r w:rsidDel="00000000" w:rsidR="00000000" w:rsidRPr="00000000">
        <w:rPr>
          <w:rtl w:val="1"/>
        </w:rPr>
        <w:t xml:space="preserve">”.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عاشور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النافعة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مصاعد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للإشراف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السور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قاعي</w:t>
      </w:r>
      <w:r w:rsidDel="00000000" w:rsidR="00000000" w:rsidRPr="00000000">
        <w:rPr>
          <w:rtl w:val="1"/>
        </w:rPr>
        <w:t xml:space="preserve">ّ،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طول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ويحتاج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تهذيب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المرشح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عاشور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أغراض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والتنوير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عاشور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ُ: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٦-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والمراد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بمجمل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الوجيز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الكفيل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المرشح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المفص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المشهور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الجلالين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لجلال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وجلال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السيوطي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رحمهما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بحاشيتيه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حاشية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وحاشية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الصاوي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فائدة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الجلالين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والحجاز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والأفغان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الأتراك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والأكراد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البيضاوي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٧-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بأبنية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والأفعال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بقوله</w:t>
      </w:r>
      <w:r w:rsidDel="00000000" w:rsidR="00000000" w:rsidRPr="00000000">
        <w:rPr>
          <w:rtl w:val="1"/>
        </w:rPr>
        <w:t xml:space="preserve">: {</w:t>
      </w: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بروا</w:t>
      </w:r>
      <w:r w:rsidDel="00000000" w:rsidR="00000000" w:rsidRPr="00000000">
        <w:rPr>
          <w:rtl w:val="1"/>
        </w:rPr>
        <w:t xml:space="preserve">} </w:t>
      </w:r>
      <w:r w:rsidDel="00000000" w:rsidR="00000000" w:rsidRPr="00000000">
        <w:rPr>
          <w:rtl w:val="1"/>
        </w:rPr>
        <w:t xml:space="preserve">وقوله</w:t>
      </w:r>
      <w:r w:rsidDel="00000000" w:rsidR="00000000" w:rsidRPr="00000000">
        <w:rPr>
          <w:rtl w:val="1"/>
        </w:rPr>
        <w:t xml:space="preserve">: {</w:t>
      </w: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}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المتأخرون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وليست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تسميتهم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آياته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كقوله</w:t>
      </w:r>
      <w:r w:rsidDel="00000000" w:rsidR="00000000" w:rsidRPr="00000000">
        <w:rPr>
          <w:rtl w:val="1"/>
        </w:rPr>
        <w:t xml:space="preserve">: {</w:t>
      </w:r>
      <w:r w:rsidDel="00000000" w:rsidR="00000000" w:rsidRPr="00000000">
        <w:rPr>
          <w:rtl w:val="1"/>
        </w:rPr>
        <w:t xml:space="preserve">وقالوا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تمس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معدودات</w:t>
      </w:r>
      <w:r w:rsidDel="00000000" w:rsidR="00000000" w:rsidRPr="00000000">
        <w:rPr>
          <w:rtl w:val="1"/>
        </w:rPr>
        <w:t xml:space="preserve">} </w:t>
      </w:r>
      <w:r w:rsidDel="00000000" w:rsidR="00000000" w:rsidRPr="00000000">
        <w:rPr>
          <w:rtl w:val="1"/>
        </w:rPr>
        <w:t xml:space="preserve">وقوله</w:t>
      </w:r>
      <w:r w:rsidDel="00000000" w:rsidR="00000000" w:rsidRPr="00000000">
        <w:rPr>
          <w:rtl w:val="1"/>
        </w:rPr>
        <w:t xml:space="preserve">: {</w:t>
      </w:r>
      <w:r w:rsidDel="00000000" w:rsidR="00000000" w:rsidRPr="00000000">
        <w:rPr>
          <w:rtl w:val="1"/>
        </w:rPr>
        <w:t xml:space="preserve">وقالوا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تمس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معدودة</w:t>
      </w:r>
      <w:r w:rsidDel="00000000" w:rsidR="00000000" w:rsidRPr="00000000">
        <w:rPr>
          <w:rtl w:val="1"/>
        </w:rPr>
        <w:t xml:space="preserve">}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: {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} </w:t>
      </w:r>
      <w:r w:rsidDel="00000000" w:rsidR="00000000" w:rsidRPr="00000000">
        <w:rPr>
          <w:rtl w:val="1"/>
        </w:rPr>
        <w:t xml:space="preserve">وقوله</w:t>
      </w:r>
      <w:r w:rsidDel="00000000" w:rsidR="00000000" w:rsidRPr="00000000">
        <w:rPr>
          <w:rtl w:val="1"/>
        </w:rPr>
        <w:t xml:space="preserve">: {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}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أمثلة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والنقص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والإدراج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والحذف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والتأخير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والتنكير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المرشح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كشف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المثاني</w:t>
      </w:r>
      <w:r w:rsidDel="00000000" w:rsidR="00000000" w:rsidRPr="00000000">
        <w:rPr>
          <w:rtl w:val="1"/>
        </w:rPr>
        <w:t xml:space="preserve">”، </w:t>
      </w:r>
      <w:r w:rsidDel="00000000" w:rsidR="00000000" w:rsidRPr="00000000">
        <w:rPr>
          <w:rtl w:val="1"/>
        </w:rPr>
        <w:t xml:space="preserve">للعل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حاشية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٨-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1"/>
        </w:rPr>
        <w:t xml:space="preserve">والمراد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التفصيل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الإجمال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المرشح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حاشية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تلخيصه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امتان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وأحمد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فائدة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الزركشي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القواعد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تحترق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تنضج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وخلو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غالب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شروح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وحواش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٩-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1"/>
        </w:rPr>
        <w:t xml:space="preserve">وهدايات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والفوائد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المتأخرون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بالعناية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لأنها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التدب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التدب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الخواطر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التدب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••</w:t>
      </w:r>
      <w:r w:rsidDel="00000000" w:rsidR="00000000" w:rsidRPr="00000000">
        <w:rPr>
          <w:rtl w:val="1"/>
        </w:rPr>
        <w:t xml:space="preserve">والمتن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المرشح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الجامع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</w:t>
      </w:r>
      <w:r w:rsidDel="00000000" w:rsidR="00000000" w:rsidRPr="00000000">
        <w:rPr>
          <w:rtl w:val="1"/>
        </w:rPr>
        <w:t xml:space="preserve">عماد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تفسيرين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المحرر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الوجيز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عطية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لابن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ُ: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التاسعة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المراتب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وخاتمة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المنازل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متدر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وجمع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</w:t>
      </w:r>
      <w:r w:rsidDel="00000000" w:rsidR="00000000" w:rsidRPr="00000000">
        <w:rPr>
          <w:rtl w:val="1"/>
        </w:rPr>
        <w:t xml:space="preserve">ّ؛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يبل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غه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عنده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التأويل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1"/>
        </w:rPr>
        <w:t xml:space="preserve">انتهى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ملخ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بتصر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العصيمي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رمضان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١٤٣٢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النبوي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1"/>
        </w:rPr>
        <w:t xml:space="preserve">لخ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صه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ٌ..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