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"/>
          <w:szCs w:val="76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الخاتمة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ونتائـج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"/>
          <w:szCs w:val="7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بسطت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نايـا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ئـيسة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بٱستقامة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إبقاؤ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ٱلظن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الأهـل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طأ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لول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الخطأ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ليل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ٱلواق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آنذاك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والوشائ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ٱلتآل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ٱلأه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الأهل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»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أبناؤه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كأه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جن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ِ،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ِ،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أحاديث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ٱلب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ٱلن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ٱلاختصاص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والأحاد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وبرهانا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وٱنهيار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مسؤولية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وأبنائ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ٱرتكاب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ؤولية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لأواص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التوصيات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والـم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قتـرحات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موضوعا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تربوي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وتحديدا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تأويلا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والآراء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ويبقى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متبوعا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توجيه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وتقويل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الكثيرين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- 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» 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وتفعيل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وإبراز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ومفهوم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ورسائ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تفريغ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ويشرب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وتتراكم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الأتـر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!!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/>
      <w:pgMar w:bottom="851" w:top="1361" w:left="1134" w:right="1134" w:header="567" w:footer="0"/>
      <w:pgNumType w:start="224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able Shapes"/>
  <w:font w:name="AGA Arabesque"/>
  <w:font w:name="Islamic Art 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(5995)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ودلائلها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(4242)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495.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8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الخاتمة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.. 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النتائج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والتوصيات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                                   </w:t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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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