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-711199</wp:posOffset>
                </wp:positionH>
                <wp:positionV relativeFrom="paragraph">
                  <wp:posOffset>0</wp:posOffset>
                </wp:positionV>
                <wp:extent cx="5029200" cy="19812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31400" y="2789400"/>
                          <a:ext cx="5029200" cy="1981200"/>
                          <a:chOff x="2831400" y="2789400"/>
                          <a:chExt cx="5029200" cy="1981200"/>
                        </a:xfrm>
                      </wpg:grpSpPr>
                      <wpg:grpSp>
                        <wpg:cNvGrpSpPr/>
                        <wpg:grpSpPr>
                          <a:xfrm>
                            <a:off x="2831400" y="2789400"/>
                            <a:ext cx="5029200" cy="1981200"/>
                            <a:chOff x="3591" y="1786"/>
                            <a:chExt cx="5940" cy="23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591" y="1786"/>
                              <a:ext cx="5925" cy="2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591" y="1786"/>
                              <a:ext cx="5940" cy="2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591" y="1786"/>
                              <a:ext cx="5940" cy="2340"/>
                            </a:xfrm>
                            <a:prstGeom prst="ribbon2">
                              <a:avLst>
                                <a:gd fmla="val 16667" name="adj1"/>
                                <a:gd fmla="val 50000" name="adj2"/>
                              </a:avLst>
                            </a:prstGeom>
                            <a:solidFill>
                              <a:srgbClr val="C0C0C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-711199</wp:posOffset>
                </wp:positionH>
                <wp:positionV relativeFrom="paragraph">
                  <wp:posOffset>0</wp:posOffset>
                </wp:positionV>
                <wp:extent cx="5029200" cy="1981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198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خلوق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وأستهديه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وأستع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ٱستعانة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وٱعترف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خطيئت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وأتباعه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وأحبابه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أخلص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ٱلانتقائ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رسال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وٱمتلأ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أتـاه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ٌ..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إيمانا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عجائ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َ..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:-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خش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..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ٱقتب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»..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..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..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الإثن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»..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ِ»..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..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لإق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ْ..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‌‌‌‌‌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صعوبات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ً‍‍‍‍‍‍‍‍‍‍..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أبنائ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26/4/2006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؟‍‍‍؟!!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َ..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وٱلب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ٱلب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0" w:before="4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ؤخ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ـين</w:t>
      </w:r>
    </w:p>
    <w:sectPr>
      <w:headerReference r:id="rId8" w:type="default"/>
      <w:pgSz w:h="16838" w:w="11906"/>
      <w:pgMar w:bottom="851" w:top="1191" w:left="1134" w:right="1134" w:header="567" w:foot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able Shapes"/>
  <w:font w:name="AGA Arabesque"/>
  <w:font w:name="Islamic Art 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45- 46.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color="000000" w:space="0" w:sz="18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المقدمة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